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#192 — Logs lisibles : accélérer le diagnostic</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Diagnostic lent : améliorer la lisibilité des erreurs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réduit le poste le plus lent (le diagnostic) en rendant les messages d’erreur lisibles et actionnables.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exemples de logs d’échec</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d’amélioration : rendre les logs et messages d’erreur lisibles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Frictions identifiées, souvent le diagnostic</w:t>
            </w:r>
          </w:p>
        </w:tc>
      </w:tr>
    </w:tbl>
    <w:p>
      <w:pPr>
        <w:pStyle w:val="Heading2"/>
      </w:pPr>
      <w:r>
        <w:t xml:space="preserve">Problématique</w:t>
      </w:r>
    </w:p>
    <w:p>
      <w:pPr>
        <w:spacing w:after="120"/>
      </w:pPr>
      <w:r>
        <w:t xml:space="preserve">Rejouer un incident montre souvent que le diagnostic est le poste le plus lent : comprendre POURQUOI le pipeline a cassé prend plus de temps que corriger. Et la cause de cette lenteur est fréquemment des logs illisibles — une erreur noyée dans des milliers de lignes, un message obscur (« exit code 1 ») qui ne dit rien, pas d’indication de l’étape ou de la cause. Le sujet de cet atelier est d’améliorer la lisibilité des logs et messages d’erreur du pipeline : rendre visible et compréhensible ce qui a cassé, pour qu’un coup d’œil suffise à diagnostiquer. C’est un levier direct sur le recovery time — réduire le temps de diagnostic réduit le délai total. On rend les échecs lisibles pour les comprendre vite.</w:t>
      </w:r>
    </w:p>
    <w:p>
      <w:pPr>
        <w:pStyle w:val="Heading2"/>
      </w:pPr>
      <w:r>
        <w:t xml:space="preserve">Pourquoi des logs lisibles (réponse à porter)</w:t>
      </w:r>
    </w:p>
    <w:p>
      <w:pPr>
        <w:pStyle w:val="ListParagraph"/>
        <w:numPr>
          <w:ilvl w:val="0"/>
          <w:numId w:val="2"/>
        </w:numPr>
        <w:spacing w:after="80"/>
      </w:pPr>
      <w:r>
        <w:t xml:space="preserve">Le diagnostic est souvent le plus gros du recovery time : comprendre la cause prend fréquemment plus de temps que corriger. Rendre les logs lisibles attaque donc le poste le plus lourd du recovery — c’est le levier au meilleur rendement sur le délai total.</w:t>
      </w:r>
    </w:p>
    <w:p>
      <w:pPr>
        <w:pStyle w:val="ListParagraph"/>
        <w:numPr>
          <w:ilvl w:val="0"/>
          <w:numId w:val="2"/>
        </w:numPr>
        <w:spacing w:after="80"/>
      </w:pPr>
      <w:r>
        <w:t xml:space="preserve">Un message d’erreur clair évite la fouille : « exit code 1 » oblige à fouiller ; « Échec du test X : valeur attendue A, obtenue B, ligne Y » diagnostique en un coup d’œil. Un bon message d’erreur contient ce qu’il faut pour comprendre sans chercher. La clarté du message est du temps gagné.</w:t>
      </w:r>
    </w:p>
    <w:p>
      <w:pPr>
        <w:pStyle w:val="ListParagraph"/>
        <w:numPr>
          <w:ilvl w:val="0"/>
          <w:numId w:val="2"/>
        </w:numPr>
        <w:spacing w:after="80"/>
      </w:pPr>
      <w:r>
        <w:t xml:space="preserve">La structure des logs guide vers la cause : des logs bien organisés (étapes clairement séparées, erreur mise en évidence, résumé en fin) permettent de localiser le problème vite. Des logs en vrac noient l’information. Structurer les logs, c’est baliser le chemin du diagnostic.</w:t>
      </w:r>
    </w:p>
    <w:p>
      <w:pPr>
        <w:pStyle w:val="ListParagraph"/>
        <w:numPr>
          <w:ilvl w:val="0"/>
          <w:numId w:val="2"/>
        </w:numPr>
        <w:spacing w:after="80"/>
      </w:pPr>
      <w:r>
        <w:t xml:space="preserve">C’est un investissement qui sert à chaque incident : améliorer la lisibilité une fois profite à tous les diagnostics futurs. Contrairement à un fix ponctuel, des logs lisibles accélèrent le recovery à chaque échec. Le rendement est durable.</w:t>
      </w:r>
    </w:p>
    <w:p>
      <w:pPr>
        <w:pStyle w:val="Heading2"/>
      </w:pPr>
      <w:r>
        <w:t xml:space="preserve">Améliorer la lisibilité (leviers concrets)</w:t>
      </w:r>
    </w:p>
    <w:p>
      <w:pPr>
        <w:pStyle w:val="ListParagraph"/>
        <w:numPr>
          <w:ilvl w:val="0"/>
          <w:numId w:val="2"/>
        </w:numPr>
        <w:spacing w:after="80"/>
      </w:pPr>
      <w:r>
        <w:t xml:space="preserve">Repérer les messages d’erreur obscurs : identifier dans les pipelines les échecs qui produisent des messages inutiles (« exit code 1 », erreurs noyées) et les rendre explicites.</w:t>
      </w:r>
    </w:p>
    <w:p>
      <w:pPr>
        <w:pStyle w:val="ListParagraph"/>
        <w:numPr>
          <w:ilvl w:val="0"/>
          <w:numId w:val="2"/>
        </w:numPr>
        <w:spacing w:after="80"/>
      </w:pPr>
      <w:r>
        <w:t xml:space="preserve">Rendre les messages actionnables : faire en sorte qu’une erreur dise quoi, où, et idéalement pourquoi (« test X échoué : attendu A, obtenu B »). Un message qui contient le diagnostic fait gagner la fouille.</w:t>
      </w:r>
    </w:p>
    <w:p>
      <w:pPr>
        <w:pStyle w:val="ListParagraph"/>
        <w:numPr>
          <w:ilvl w:val="0"/>
          <w:numId w:val="2"/>
        </w:numPr>
        <w:spacing w:after="80"/>
      </w:pPr>
      <w:r>
        <w:t xml:space="preserve">Structurer les logs : organiser la sortie du pipeline — étapes séparées, erreur mise en évidence (couleur, marqueur), résumé clair en fin. La structure guide l’œil vers la cause.</w:t>
      </w:r>
    </w:p>
    <w:p>
      <w:pPr>
        <w:pStyle w:val="ListParagraph"/>
        <w:numPr>
          <w:ilvl w:val="0"/>
          <w:numId w:val="2"/>
        </w:numPr>
        <w:spacing w:after="80"/>
      </w:pPr>
      <w:r>
        <w:t xml:space="preserve">Faire remonter l’essentiel : éviter de noyer l’erreur dans des milliers de lignes — mettre en avant ce qui a cassé. Si besoin, un résumé d’échec en tête ou en pied de log. L’essentiel doit sauter aux yeux.</w:t>
      </w:r>
    </w:p>
    <w:p>
      <w:pPr>
        <w:pStyle w:val="Heading2"/>
      </w:pPr>
      <w:r>
        <w:t xml:space="preserve">Objectif de l’atelier</w:t>
      </w:r>
    </w:p>
    <w:p>
      <w:pPr>
        <w:spacing w:after="120"/>
      </w:pPr>
      <w:r>
        <w:t xml:space="preserve">À la sortie, la squad a amélioré la lisibilité de ses logs et messages d’erreur de pipeline : les messages obscurs (« exit code 1 ») sont rendus explicites et actionnables (quoi, où, pourquoi), les logs sont structurés (étapes séparées, erreur mise en évidence, résumé clair), et l’essentiel remonte au lieu d’être noyé. Le temps de diagnostic — souvent le poste le plus lourd du recovery — est réduit, ce qui réduit directement le recovery time. L’investissement profite à chaque incident futur. La mesure Recovery time du hub baisse parce que comprendre l’échec est désormais rapide.</w:t>
      </w:r>
    </w:p>
    <w:p>
      <w:pPr>
        <w:pStyle w:val="Heading2"/>
      </w:pPr>
      <w:r>
        <w:t xml:space="preserve">Board Klaxoon</w:t>
      </w:r>
    </w:p>
    <w:p>
      <w:pPr>
        <w:spacing w:after="120"/>
      </w:pPr>
      <w:r>
        <w:rPr>
          <w:b w:val="false"/>
          <w:bCs w:val="false"/>
        </w:rPr>
        <w:t xml:space="preserve">Template recommandé : Logs lisibles.</w:t>
      </w:r>
    </w:p>
    <w:p>
      <w:pPr>
        <w:pStyle w:val="ListParagraph"/>
        <w:numPr>
          <w:ilvl w:val="0"/>
          <w:numId w:val="2"/>
        </w:numPr>
        <w:spacing w:after="80"/>
      </w:pPr>
      <w:r>
        <w:t xml:space="preserve">Zone « Messages obscurs » — les erreurs inutiles à rendre explicites.</w:t>
      </w:r>
    </w:p>
    <w:p>
      <w:pPr>
        <w:pStyle w:val="ListParagraph"/>
        <w:numPr>
          <w:ilvl w:val="0"/>
          <w:numId w:val="2"/>
        </w:numPr>
        <w:spacing w:after="80"/>
      </w:pPr>
      <w:r>
        <w:t xml:space="preserve">Zone « Actionnable » — quoi, où, pourquoi dans le message.</w:t>
      </w:r>
    </w:p>
    <w:p>
      <w:pPr>
        <w:pStyle w:val="ListParagraph"/>
        <w:numPr>
          <w:ilvl w:val="0"/>
          <w:numId w:val="2"/>
        </w:numPr>
        <w:spacing w:after="80"/>
      </w:pPr>
      <w:r>
        <w:t xml:space="preserve">Zone « Structure » — étapes séparées, erreur mise en évidence, résumé.</w:t>
      </w:r>
    </w:p>
    <w:p>
      <w:pPr>
        <w:pStyle w:val="ListParagraph"/>
        <w:numPr>
          <w:ilvl w:val="0"/>
          <w:numId w:val="2"/>
        </w:numPr>
        <w:spacing w:after="80"/>
      </w:pPr>
      <w:r>
        <w:t xml:space="preserve">Zone « L’essentiel remonte » — ce qui a cassé saute aux yeux.</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levier : le diagnostic est lent, des logs lisibles l’accélèrent.</w:t>
      </w:r>
    </w:p>
    <w:p>
      <w:pPr>
        <w:pStyle w:val="ListParagraph"/>
        <w:numPr>
          <w:ilvl w:val="0"/>
          <w:numId w:val="2"/>
        </w:numPr>
        <w:spacing w:after="80"/>
      </w:pPr>
      <w:r>
        <w:rPr>
          <w:b/>
          <w:bCs/>
        </w:rPr>
        <w:t xml:space="preserve">(12 min) Repérer les messages obscurs</w:t>
      </w:r>
      <w:r>
        <w:t xml:space="preserve"> — les échecs qui produisent des logs inutiles.</w:t>
      </w:r>
    </w:p>
    <w:p>
      <w:pPr>
        <w:pStyle w:val="ListParagraph"/>
        <w:numPr>
          <w:ilvl w:val="0"/>
          <w:numId w:val="2"/>
        </w:numPr>
        <w:spacing w:after="80"/>
      </w:pPr>
      <w:r>
        <w:rPr>
          <w:b/>
          <w:bCs/>
        </w:rPr>
        <w:t xml:space="preserve">(13 min) Rendre actionnable</w:t>
      </w:r>
      <w:r>
        <w:t xml:space="preserve"> — messages explicites (quoi, où, pourquoi).</w:t>
      </w:r>
    </w:p>
    <w:p>
      <w:pPr>
        <w:pStyle w:val="ListParagraph"/>
        <w:numPr>
          <w:ilvl w:val="0"/>
          <w:numId w:val="2"/>
        </w:numPr>
        <w:spacing w:after="80"/>
      </w:pPr>
      <w:r>
        <w:rPr>
          <w:b/>
          <w:bCs/>
        </w:rPr>
        <w:t xml:space="preserve">(10 min) Structurer les logs</w:t>
      </w:r>
      <w:r>
        <w:t xml:space="preserve"> — étapes séparées, erreur en évidence, résumé, essentiel qui remonte.</w:t>
      </w:r>
    </w:p>
    <w:p>
      <w:pPr>
        <w:pStyle w:val="ListParagraph"/>
        <w:numPr>
          <w:ilvl w:val="0"/>
          <w:numId w:val="2"/>
        </w:numPr>
        <w:spacing w:after="80"/>
      </w:pPr>
      <w:r>
        <w:rPr>
          <w:b/>
          <w:bCs/>
        </w:rPr>
        <w:t xml:space="preserve">(5 min) Débrief</w:t>
      </w:r>
      <w:r>
        <w:t xml:space="preserve"> — on constate : comprendre un échec est désormais rapide.</w:t>
      </w:r>
    </w:p>
    <w:p>
      <w:pPr>
        <w:pStyle w:val="Heading2"/>
      </w:pPr>
      <w:r>
        <w:t xml:space="preserve">Livrable de l’atelier</w:t>
      </w:r>
    </w:p>
    <w:p>
      <w:pPr>
        <w:pStyle w:val="ListParagraph"/>
        <w:numPr>
          <w:ilvl w:val="0"/>
          <w:numId w:val="2"/>
        </w:numPr>
        <w:spacing w:after="80"/>
      </w:pPr>
      <w:r>
        <w:t xml:space="preserve">Des messages d’erreur rendus explicites et actionnables.</w:t>
      </w:r>
    </w:p>
    <w:p>
      <w:pPr>
        <w:pStyle w:val="ListParagraph"/>
        <w:numPr>
          <w:ilvl w:val="0"/>
          <w:numId w:val="2"/>
        </w:numPr>
        <w:spacing w:after="80"/>
      </w:pPr>
      <w:r>
        <w:t xml:space="preserve">Des logs structurés (étapes, erreur en évidence, résumé).</w:t>
      </w:r>
    </w:p>
    <w:p>
      <w:pPr>
        <w:pStyle w:val="ListParagraph"/>
        <w:numPr>
          <w:ilvl w:val="0"/>
          <w:numId w:val="2"/>
        </w:numPr>
        <w:spacing w:after="80"/>
      </w:pPr>
      <w:r>
        <w:t xml:space="preserve">L’essentiel des échecs mis en avant.</w:t>
      </w:r>
    </w:p>
    <w:p>
      <w:pPr>
        <w:pStyle w:val="ListParagraph"/>
        <w:numPr>
          <w:ilvl w:val="0"/>
          <w:numId w:val="2"/>
        </w:numPr>
        <w:spacing w:after="80"/>
      </w:pPr>
      <w:r>
        <w:t xml:space="preserve">Un temps de diagnostic réduit, profitant à chaque incident.</w:t>
      </w:r>
    </w:p>
    <w:p>
      <w:pPr>
        <w:pStyle w:val="Heading2"/>
      </w:pPr>
      <w:r>
        <w:t xml:space="preserve">Articulation S03 (ce qui suit)</w:t>
      </w:r>
    </w:p>
    <w:p>
      <w:pPr>
        <w:spacing w:after="120"/>
      </w:pPr>
      <w:r>
        <w:t xml:space="preserve">Des logs lisibles accélèrent le diagnostic. La suite capitalise et étend : (playbook des 5 causes fréquentes — diagnostic encore plus rapide pour les cas connus), (rôles hors heures), (revert automatique). Comprendre vite prépare à reconnaître les causes récurrentes.</w:t>
      </w:r>
    </w:p>
    <w:p>
      <w:pPr>
        <w:pStyle w:val="Heading2"/>
      </w:pPr>
      <w:r>
        <w:t xml:space="preserve">Critère de réussite</w:t>
      </w:r>
    </w:p>
    <w:p>
      <w:pPr>
        <w:spacing w:after="120"/>
      </w:pPr>
      <w:r>
        <w:t xml:space="preserve">La squad a amélioré la lisibilité de ses logs et messages d’erreur : messages explicites et actionnables, logs structurés, essentiel mis en avant. Le temps de diagnostic — poste le plus lourd du recovery — est réduit, ce qui réduit le recovery time, et l’investissement profite à chaque incident futur. La mesure Recovery time du hub baisse. La question S03 accélère son diagnostic, prête à capitaliser les causes fréquentes.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2026-06-26T14:04:42.911Z</dcterms:created>
  <dcterms:modified xsi:type="dcterms:W3CDTF">2026-06-26T14:04:42.911Z</dcterms:modified>
</cp:coreProperties>
</file>

<file path=docProps/custom.xml><?xml version="1.0" encoding="utf-8"?>
<Properties xmlns="http://schemas.openxmlformats.org/officeDocument/2006/custom-properties" xmlns:vt="http://schemas.openxmlformats.org/officeDocument/2006/docPropsVTypes"/>
</file>