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Capsule #64-D — Quel modèle de branches choisir ?</w:t>
      </w:r>
    </w:p>
    <w:p>
      <w:pPr>
        <w:pBdr>
          <w:bottom w:val="single" w:color="6B3FA0" w:sz="6" w:space="1"/>
        </w:pBdr>
        <w:spacing w:after="200"/>
      </w:pPr>
      <w:r>
        <w:rPr>
          <w:i/>
          <w:iCs/>
          <w:color w:val="666666"/>
        </w:rPr>
        <w:t xml:space="preserve">CAPSULE (cours) · Modèles de branches (4/4 — comparatif) · Axe Toolchain CI/CD — Question D03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Capsule cours — comparatif, 4 des 4 capsules « modèles de branches »</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Toolchain CI/CD</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Question (D03)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déploiements passent-ils systématiquement par la branche principale ?</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Prérequis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Capsules 1/4 GitFlow, 2/4 Feature Branching, 3/4 Trunk-Based lues</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30-40 min (lecture)</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Ton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Neutre — aide à choisir selon SON contexte, pas de dogme</w:t>
            </w:r>
          </w:p>
        </w:tc>
      </w:tr>
    </w:tbl>
    <w:p>
      <w:pPr>
        <w:spacing w:after="120"/>
      </w:pPr>
      <w:r>
        <w:rPr>
          <w:b/>
          <w:bCs/>
        </w:rPr>
        <w:t xml:space="preserve">Objet de cette capsule : </w:t>
      </w:r>
      <w:r>
        <w:t xml:space="preserve">après avoir vu les trois modèles en détail, comment choisir ? Il n'y a pas de réponse universelle : le bon modèle dépend du contexte de la squad (rythme de livraison, taille d'équipe, type de produit, contraintes de conformité). Cette capsule donne les critères de choix, un tableau comparatif, un arbre de décision, et la façon de migrer progressivement d'un modèle à l'autre. Aucun modèle n'est présenté comme 'le bon' dans l'absolu.</w:t>
      </w:r>
    </w:p>
    <w:p>
      <w:pPr>
        <w:pStyle w:val="Heading2"/>
      </w:pPr>
      <w:r>
        <w:t xml:space="preserve">Chapitre 1 — Le critère qui structure tout : le rythme de livraison</w:t>
      </w:r>
    </w:p>
    <w:p>
      <w:pPr>
        <w:spacing w:after="120"/>
      </w:pPr>
      <w:r>
        <w:t xml:space="preserve">Si un seul critère devait guider le choix, c'est celui-ci : à quelle fréquence livrez-vous (ou voulez-vous livrer) ? Les trois modèles se placent naturellement sur cet axe :</w:t>
      </w:r>
    </w:p>
    <w:p>
      <w:pPr>
        <w:pStyle w:val="ListParagraph"/>
        <w:numPr>
          <w:ilvl w:val="0"/>
          <w:numId w:val="2"/>
        </w:numPr>
      </w:pPr>
      <w:r>
        <w:t xml:space="preserve">Releases espacées et versionnées (mensuelles, trimestrielles), plusieurs versions à maintenir → GitFlow est dans son élément.</w:t>
      </w:r>
    </w:p>
    <w:p>
      <w:pPr>
        <w:pStyle w:val="ListParagraph"/>
        <w:numPr>
          <w:ilvl w:val="0"/>
          <w:numId w:val="2"/>
        </w:numPr>
      </w:pPr>
      <w:r>
        <w:t xml:space="preserve">Livraison régulière, plusieurs fois par semaine, une version en service (SaaS) → Feature Branching est le compromis naturel.</w:t>
      </w:r>
    </w:p>
    <w:p>
      <w:pPr>
        <w:pStyle w:val="ListParagraph"/>
        <w:numPr>
          <w:ilvl w:val="0"/>
          <w:numId w:val="2"/>
        </w:numPr>
      </w:pPr>
      <w:r>
        <w:t xml:space="preserve">Livraison très fréquente, plusieurs fois par jour, recherche de la performance maximale → Trunk-Based est la cible.</w:t>
      </w:r>
    </w:p>
    <w:p>
      <w:pPr>
        <w:spacing w:after="120"/>
      </w:pPr>
      <w:r>
        <w:t xml:space="preserve">Ce n'est pas un hasard : chaque modèle a été pensé pour un rythme. Choisir un modèle dont le rythme ne correspond pas au vôtre, c'est se condamner à le subir (cf. les galères de GitFlow utilisé en SaaS continu, capsule 1/4).</w:t>
      </w:r>
    </w:p>
    <w:p>
      <w:pPr>
        <w:pStyle w:val="Heading2"/>
      </w:pPr>
      <w:r>
        <w:t xml:space="preserve">Chapitre 2 — Tableau comparatif</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2530"/>
        <w:gridCol w:w="2530"/>
        <w:gridCol w:w="2540"/>
      </w:tblGrid>
      <w:tr>
        <w:tc>
          <w:tcPr>
            <w:tcW w:type="dxa" w:w="2400"/>
            <w:tcBorders>
              <w:top w:val="single" w:color="CCCCCC" w:sz="1"/>
              <w:left w:val="single" w:color="CCCCCC" w:sz="1"/>
              <w:bottom w:val="single" w:color="CCCCCC" w:sz="1"/>
              <w:right w:val="single" w:color="CCCCCC" w:sz="1"/>
            </w:tcBorders>
            <w:shd w:fill="E8DEF2" w:val="clear"/>
            <w:tcMar>
              <w:top w:type="dxa" w:w="70"/>
              <w:left w:type="dxa" w:w="100"/>
              <w:bottom w:type="dxa" w:w="70"/>
              <w:right w:type="dxa" w:w="100"/>
            </w:tcMar>
          </w:tcPr>
          <w:p>
            <w:r>
              <w:rPr>
                <w:b/>
                <w:bCs/>
              </w:rPr>
              <w:t xml:space="preserve">Critère</w:t>
            </w:r>
          </w:p>
        </w:tc>
        <w:tc>
          <w:tcPr>
            <w:tcW w:type="dxa" w:w="2530"/>
            <w:tcBorders>
              <w:top w:val="single" w:color="CCCCCC" w:sz="1"/>
              <w:left w:val="single" w:color="CCCCCC" w:sz="1"/>
              <w:bottom w:val="single" w:color="CCCCCC" w:sz="1"/>
              <w:right w:val="single" w:color="CCCCCC" w:sz="1"/>
            </w:tcBorders>
            <w:shd w:fill="E8DEF2" w:val="clear"/>
            <w:tcMar>
              <w:top w:type="dxa" w:w="70"/>
              <w:left w:type="dxa" w:w="100"/>
              <w:bottom w:type="dxa" w:w="70"/>
              <w:right w:type="dxa" w:w="100"/>
            </w:tcMar>
          </w:tcPr>
          <w:p>
            <w:r>
              <w:rPr>
                <w:b/>
                <w:bCs/>
              </w:rPr>
              <w:t xml:space="preserve">GitFlow</w:t>
            </w:r>
          </w:p>
        </w:tc>
        <w:tc>
          <w:tcPr>
            <w:tcW w:type="dxa" w:w="2530"/>
            <w:tcBorders>
              <w:top w:val="single" w:color="CCCCCC" w:sz="1"/>
              <w:left w:val="single" w:color="CCCCCC" w:sz="1"/>
              <w:bottom w:val="single" w:color="CCCCCC" w:sz="1"/>
              <w:right w:val="single" w:color="CCCCCC" w:sz="1"/>
            </w:tcBorders>
            <w:shd w:fill="E8DEF2" w:val="clear"/>
            <w:tcMar>
              <w:top w:type="dxa" w:w="70"/>
              <w:left w:type="dxa" w:w="100"/>
              <w:bottom w:type="dxa" w:w="70"/>
              <w:right w:type="dxa" w:w="100"/>
            </w:tcMar>
          </w:tcPr>
          <w:p>
            <w:r>
              <w:rPr>
                <w:b/>
                <w:bCs/>
              </w:rPr>
              <w:t xml:space="preserve">Feature Branching</w:t>
            </w:r>
          </w:p>
        </w:tc>
        <w:tc>
          <w:tcPr>
            <w:tcW w:type="dxa" w:w="2540"/>
            <w:tcBorders>
              <w:top w:val="single" w:color="CCCCCC" w:sz="1"/>
              <w:left w:val="single" w:color="CCCCCC" w:sz="1"/>
              <w:bottom w:val="single" w:color="CCCCCC" w:sz="1"/>
              <w:right w:val="single" w:color="CCCCCC" w:sz="1"/>
            </w:tcBorders>
            <w:shd w:fill="E8DEF2" w:val="clear"/>
            <w:tcMar>
              <w:top w:type="dxa" w:w="70"/>
              <w:left w:type="dxa" w:w="100"/>
              <w:bottom w:type="dxa" w:w="70"/>
              <w:right w:type="dxa" w:w="100"/>
            </w:tcMar>
          </w:tcPr>
          <w:p>
            <w:r>
              <w:rPr>
                <w:b/>
                <w:bCs/>
              </w:rPr>
              <w:t xml:space="preserve">Trunk-Based</w:t>
            </w:r>
          </w:p>
        </w:tc>
      </w:tr>
      <w:tr>
        <w:tc>
          <w:tcPr>
            <w:tcW w:type="dxa" w:w="2400"/>
            <w:tcBorders>
              <w:top w:val="single" w:color="CCCCCC" w:sz="1"/>
              <w:left w:val="single" w:color="CCCCCC" w:sz="1"/>
              <w:bottom w:val="single" w:color="CCCCCC" w:sz="1"/>
              <w:right w:val="single" w:color="CCCCCC" w:sz="1"/>
            </w:tcBorders>
            <w:shd w:fill="E8DEF2" w:val="clear"/>
            <w:tcMar>
              <w:top w:type="dxa" w:w="70"/>
              <w:left w:type="dxa" w:w="100"/>
              <w:bottom w:type="dxa" w:w="70"/>
              <w:right w:type="dxa" w:w="100"/>
            </w:tcMar>
          </w:tcPr>
          <w:p>
            <w:r>
              <w:rPr>
                <w:b/>
                <w:bCs/>
              </w:rPr>
              <w:t xml:space="preserve">Branches permanentes</w:t>
            </w:r>
          </w:p>
        </w:tc>
        <w:tc>
          <w:tcPr>
            <w:tcW w:type="dxa" w:w="253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2 (main + develop)</w:t>
            </w:r>
          </w:p>
        </w:tc>
        <w:tc>
          <w:tcPr>
            <w:tcW w:type="dxa" w:w="253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1 (main)</w:t>
            </w:r>
          </w:p>
        </w:tc>
        <w:tc>
          <w:tcPr>
            <w:tcW w:type="dxa" w:w="254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1 (main)</w:t>
            </w:r>
          </w:p>
        </w:tc>
      </w:tr>
      <w:tr>
        <w:tc>
          <w:tcPr>
            <w:tcW w:type="dxa" w:w="2400"/>
            <w:tcBorders>
              <w:top w:val="single" w:color="CCCCCC" w:sz="1"/>
              <w:left w:val="single" w:color="CCCCCC" w:sz="1"/>
              <w:bottom w:val="single" w:color="CCCCCC" w:sz="1"/>
              <w:right w:val="single" w:color="CCCCCC" w:sz="1"/>
            </w:tcBorders>
            <w:shd w:fill="E8DEF2" w:val="clear"/>
            <w:tcMar>
              <w:top w:type="dxa" w:w="70"/>
              <w:left w:type="dxa" w:w="100"/>
              <w:bottom w:type="dxa" w:w="70"/>
              <w:right w:type="dxa" w:w="100"/>
            </w:tcMar>
          </w:tcPr>
          <w:p>
            <w:r>
              <w:rPr>
                <w:b/>
                <w:bCs/>
              </w:rPr>
              <w:t xml:space="preserve">Durée des branches</w:t>
            </w:r>
          </w:p>
        </w:tc>
        <w:tc>
          <w:tcPr>
            <w:tcW w:type="dxa" w:w="253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Longue (jours-semaines)</w:t>
            </w:r>
          </w:p>
        </w:tc>
        <w:tc>
          <w:tcPr>
            <w:tcW w:type="dxa" w:w="253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Courte (idéalt 1-2 j)</w:t>
            </w:r>
          </w:p>
        </w:tc>
        <w:tc>
          <w:tcPr>
            <w:tcW w:type="dxa" w:w="254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Très courte / nulle</w:t>
            </w:r>
          </w:p>
        </w:tc>
      </w:tr>
      <w:tr>
        <w:tc>
          <w:tcPr>
            <w:tcW w:type="dxa" w:w="2400"/>
            <w:tcBorders>
              <w:top w:val="single" w:color="CCCCCC" w:sz="1"/>
              <w:left w:val="single" w:color="CCCCCC" w:sz="1"/>
              <w:bottom w:val="single" w:color="CCCCCC" w:sz="1"/>
              <w:right w:val="single" w:color="CCCCCC" w:sz="1"/>
            </w:tcBorders>
            <w:shd w:fill="E8DEF2" w:val="clear"/>
            <w:tcMar>
              <w:top w:type="dxa" w:w="70"/>
              <w:left w:type="dxa" w:w="100"/>
              <w:bottom w:type="dxa" w:w="70"/>
              <w:right w:type="dxa" w:w="100"/>
            </w:tcMar>
          </w:tcPr>
          <w:p>
            <w:r>
              <w:rPr>
                <w:b/>
                <w:bCs/>
              </w:rPr>
              <w:t xml:space="preserve">Fréquence de livraison visée</w:t>
            </w:r>
          </w:p>
        </w:tc>
        <w:tc>
          <w:tcPr>
            <w:tcW w:type="dxa" w:w="253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Espacée, versionnée</w:t>
            </w:r>
          </w:p>
        </w:tc>
        <w:tc>
          <w:tcPr>
            <w:tcW w:type="dxa" w:w="253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Régulière (semaine)</w:t>
            </w:r>
          </w:p>
        </w:tc>
        <w:tc>
          <w:tcPr>
            <w:tcW w:type="dxa" w:w="254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Très fréquente (jour)</w:t>
            </w:r>
          </w:p>
        </w:tc>
      </w:tr>
      <w:tr>
        <w:tc>
          <w:tcPr>
            <w:tcW w:type="dxa" w:w="2400"/>
            <w:tcBorders>
              <w:top w:val="single" w:color="CCCCCC" w:sz="1"/>
              <w:left w:val="single" w:color="CCCCCC" w:sz="1"/>
              <w:bottom w:val="single" w:color="CCCCCC" w:sz="1"/>
              <w:right w:val="single" w:color="CCCCCC" w:sz="1"/>
            </w:tcBorders>
            <w:shd w:fill="E8DEF2" w:val="clear"/>
            <w:tcMar>
              <w:top w:type="dxa" w:w="70"/>
              <w:left w:type="dxa" w:w="100"/>
              <w:bottom w:type="dxa" w:w="70"/>
              <w:right w:type="dxa" w:w="100"/>
            </w:tcMar>
          </w:tcPr>
          <w:p>
            <w:r>
              <w:rPr>
                <w:b/>
                <w:bCs/>
              </w:rPr>
              <w:t xml:space="preserve">Complexité</w:t>
            </w:r>
          </w:p>
        </w:tc>
        <w:tc>
          <w:tcPr>
            <w:tcW w:type="dxa" w:w="253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Élevée</w:t>
            </w:r>
          </w:p>
        </w:tc>
        <w:tc>
          <w:tcPr>
            <w:tcW w:type="dxa" w:w="253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Faible</w:t>
            </w:r>
          </w:p>
        </w:tc>
        <w:tc>
          <w:tcPr>
            <w:tcW w:type="dxa" w:w="254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Faible (modèle) mais prérequis exigeants</w:t>
            </w:r>
          </w:p>
        </w:tc>
      </w:tr>
      <w:tr>
        <w:tc>
          <w:tcPr>
            <w:tcW w:type="dxa" w:w="2400"/>
            <w:tcBorders>
              <w:top w:val="single" w:color="CCCCCC" w:sz="1"/>
              <w:left w:val="single" w:color="CCCCCC" w:sz="1"/>
              <w:bottom w:val="single" w:color="CCCCCC" w:sz="1"/>
              <w:right w:val="single" w:color="CCCCCC" w:sz="1"/>
            </w:tcBorders>
            <w:shd w:fill="E8DEF2" w:val="clear"/>
            <w:tcMar>
              <w:top w:type="dxa" w:w="70"/>
              <w:left w:type="dxa" w:w="100"/>
              <w:bottom w:type="dxa" w:w="70"/>
              <w:right w:type="dxa" w:w="100"/>
            </w:tcMar>
          </w:tcPr>
          <w:p>
            <w:r>
              <w:rPr>
                <w:b/>
                <w:bCs/>
              </w:rPr>
              <w:t xml:space="preserve">Risque de gros conflits</w:t>
            </w:r>
          </w:p>
        </w:tc>
        <w:tc>
          <w:tcPr>
            <w:tcW w:type="dxa" w:w="253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Élevé</w:t>
            </w:r>
          </w:p>
        </w:tc>
        <w:tc>
          <w:tcPr>
            <w:tcW w:type="dxa" w:w="253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Moyen (selon durée)</w:t>
            </w:r>
          </w:p>
        </w:tc>
        <w:tc>
          <w:tcPr>
            <w:tcW w:type="dxa" w:w="254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Très faible</w:t>
            </w:r>
          </w:p>
        </w:tc>
      </w:tr>
      <w:tr>
        <w:tc>
          <w:tcPr>
            <w:tcW w:type="dxa" w:w="2400"/>
            <w:tcBorders>
              <w:top w:val="single" w:color="CCCCCC" w:sz="1"/>
              <w:left w:val="single" w:color="CCCCCC" w:sz="1"/>
              <w:bottom w:val="single" w:color="CCCCCC" w:sz="1"/>
              <w:right w:val="single" w:color="CCCCCC" w:sz="1"/>
            </w:tcBorders>
            <w:shd w:fill="E8DEF2" w:val="clear"/>
            <w:tcMar>
              <w:top w:type="dxa" w:w="70"/>
              <w:left w:type="dxa" w:w="100"/>
              <w:bottom w:type="dxa" w:w="70"/>
              <w:right w:type="dxa" w:w="100"/>
            </w:tcMar>
          </w:tcPr>
          <w:p>
            <w:r>
              <w:rPr>
                <w:b/>
                <w:bCs/>
              </w:rPr>
              <w:t xml:space="preserve">Multi-versions en parallèle</w:t>
            </w:r>
          </w:p>
        </w:tc>
        <w:tc>
          <w:tcPr>
            <w:tcW w:type="dxa" w:w="253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Excellent</w:t>
            </w:r>
          </w:p>
        </w:tc>
        <w:tc>
          <w:tcPr>
            <w:tcW w:type="dxa" w:w="253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Faible</w:t>
            </w:r>
          </w:p>
        </w:tc>
        <w:tc>
          <w:tcPr>
            <w:tcW w:type="dxa" w:w="254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Faible</w:t>
            </w:r>
          </w:p>
        </w:tc>
      </w:tr>
      <w:tr>
        <w:tc>
          <w:tcPr>
            <w:tcW w:type="dxa" w:w="2400"/>
            <w:tcBorders>
              <w:top w:val="single" w:color="CCCCCC" w:sz="1"/>
              <w:left w:val="single" w:color="CCCCCC" w:sz="1"/>
              <w:bottom w:val="single" w:color="CCCCCC" w:sz="1"/>
              <w:right w:val="single" w:color="CCCCCC" w:sz="1"/>
            </w:tcBorders>
            <w:shd w:fill="E8DEF2" w:val="clear"/>
            <w:tcMar>
              <w:top w:type="dxa" w:w="70"/>
              <w:left w:type="dxa" w:w="100"/>
              <w:bottom w:type="dxa" w:w="70"/>
              <w:right w:type="dxa" w:w="100"/>
            </w:tcMar>
          </w:tcPr>
          <w:p>
            <w:r>
              <w:rPr>
                <w:b/>
                <w:bCs/>
              </w:rPr>
              <w:t xml:space="preserve">Prérequis techniques</w:t>
            </w:r>
          </w:p>
        </w:tc>
        <w:tc>
          <w:tcPr>
            <w:tcW w:type="dxa" w:w="253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Modérés</w:t>
            </w:r>
          </w:p>
        </w:tc>
        <w:tc>
          <w:tcPr>
            <w:tcW w:type="dxa" w:w="253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Tests + protection branche</w:t>
            </w:r>
          </w:p>
        </w:tc>
        <w:tc>
          <w:tcPr>
            <w:tcW w:type="dxa" w:w="254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Forts (tests, FF, build rapide, slicing)</w:t>
            </w:r>
          </w:p>
        </w:tc>
      </w:tr>
      <w:tr>
        <w:tc>
          <w:tcPr>
            <w:tcW w:type="dxa" w:w="2400"/>
            <w:tcBorders>
              <w:top w:val="single" w:color="CCCCCC" w:sz="1"/>
              <w:left w:val="single" w:color="CCCCCC" w:sz="1"/>
              <w:bottom w:val="single" w:color="CCCCCC" w:sz="1"/>
              <w:right w:val="single" w:color="CCCCCC" w:sz="1"/>
            </w:tcBorders>
            <w:shd w:fill="E8DEF2" w:val="clear"/>
            <w:tcMar>
              <w:top w:type="dxa" w:w="70"/>
              <w:left w:type="dxa" w:w="100"/>
              <w:bottom w:type="dxa" w:w="70"/>
              <w:right w:type="dxa" w:w="100"/>
            </w:tcMar>
          </w:tcPr>
          <w:p>
            <w:r>
              <w:rPr>
                <w:b/>
                <w:bCs/>
              </w:rPr>
              <w:t xml:space="preserve">Adapté au déploiement continu</w:t>
            </w:r>
          </w:p>
        </w:tc>
        <w:tc>
          <w:tcPr>
            <w:tcW w:type="dxa" w:w="253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Mal</w:t>
            </w:r>
          </w:p>
        </w:tc>
        <w:tc>
          <w:tcPr>
            <w:tcW w:type="dxa" w:w="253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Bien</w:t>
            </w:r>
          </w:p>
        </w:tc>
        <w:tc>
          <w:tcPr>
            <w:tcW w:type="dxa" w:w="254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Idéal</w:t>
            </w:r>
          </w:p>
        </w:tc>
      </w:tr>
    </w:tbl>
    <w:p>
      <w:pPr>
        <w:pStyle w:val="Heading2"/>
      </w:pPr>
      <w:r>
        <w:t xml:space="preserve">Chapitre 3 — Les autres critères de contexte</w:t>
      </w:r>
    </w:p>
    <w:p>
      <w:pPr>
        <w:pStyle w:val="ListParagraph"/>
        <w:numPr>
          <w:ilvl w:val="0"/>
          <w:numId w:val="2"/>
        </w:numPr>
      </w:pPr>
      <w:r>
        <w:t xml:space="preserve">Type de produit : un SaaS (une seule version en service) penche vers Feature Branching/Trunk-Based ; un logiciel installé chez des clients en plusieurs versions penche vers GitFlow.</w:t>
      </w:r>
    </w:p>
    <w:p>
      <w:pPr>
        <w:pStyle w:val="ListParagraph"/>
        <w:numPr>
          <w:ilvl w:val="0"/>
          <w:numId w:val="2"/>
        </w:numPr>
      </w:pPr>
      <w:r>
        <w:t xml:space="preserve">Maturité technique de la squad : le Trunk-Based exige des fondations solides (tests, pipeline fiable, feature flags, slicing). Une squad qui ne les a pas encore n'y va pas directement — elle commence par Feature Branching et construit les prérequis.</w:t>
      </w:r>
    </w:p>
    <w:p>
      <w:pPr>
        <w:pStyle w:val="ListParagraph"/>
        <w:numPr>
          <w:ilvl w:val="0"/>
          <w:numId w:val="2"/>
        </w:numPr>
      </w:pPr>
      <w:r>
        <w:t xml:space="preserve">Taille et expérience de l'équipe : une grande équipe peu mature peut avoir besoin du cadre de GitFlow ; une équipe expérimentée et outillée fluidifie tout en Trunk-Based.</w:t>
      </w:r>
    </w:p>
    <w:p>
      <w:pPr>
        <w:pStyle w:val="ListParagraph"/>
        <w:numPr>
          <w:ilvl w:val="0"/>
          <w:numId w:val="2"/>
        </w:numPr>
      </w:pPr>
      <w:r>
        <w:t xml:space="preserve">Contraintes de conformité (banque) : elles n'imposent PAS GitFlow, contrairement à une idée reçue. Les contrôles (quatre yeux, traçabilité, gates) s'obtiennent dans tous les modèles (MR, binôme, pipeline, tags). Ce qui compte, c'est d'avoir les contrôles, pas un modèle particulier.</w:t>
      </w:r>
    </w:p>
    <w:p>
      <w:pPr>
        <w:pStyle w:val="Heading2"/>
      </w:pPr>
      <w:r>
        <w:t xml:space="preserve">Chapitre 4 — Arbre de décision</w:t>
      </w:r>
    </w:p>
    <w:p>
      <w:pPr>
        <w:spacing w:after="120"/>
      </w:pPr>
      <w:r>
        <w:t xml:space="preserve">Une façon simple de se situer (à adapter, ce n'est pas un dogme)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60"/>
              <w:bottom w:type="dxa" w:w="120"/>
              <w:right w:type="dxa" w:w="160"/>
            </w:tcMar>
          </w:tcPr>
          <w:p>
            <w:pPr>
              <w:spacing w:after="60"/>
            </w:pPr>
            <w:r>
              <w:rPr>
                <w:b/>
                <w:bCs/>
                <w:color w:val="B7791F"/>
              </w:rPr>
              <w:t xml:space="preserve">Pour s'orienter</w:t>
            </w:r>
          </w:p>
          <w:p>
            <w:pPr>
              <w:spacing w:after="40"/>
            </w:pPr>
            <w:r>
              <w:t xml:space="preserve">Avez-vous plusieurs versions à maintenir en parallèle chez des clients ?</w:t>
            </w:r>
          </w:p>
          <w:p>
            <w:pPr>
              <w:spacing w:after="40"/>
            </w:pPr>
            <w:r>
              <w:t xml:space="preserve"> → OUI : GitFlow est probablement justifié (c'est son point fort).</w:t>
            </w:r>
          </w:p>
          <w:p>
            <w:pPr>
              <w:spacing w:after="40"/>
            </w:pPr>
            <w:r>
              <w:t xml:space="preserve"> → NON : continuez ↓</w:t>
            </w:r>
          </w:p>
          <w:p>
            <w:pPr>
              <w:spacing w:after="40"/>
            </w:pPr>
            <w:r>
              <w:t xml:space="preserve"/>
            </w:r>
          </w:p>
          <w:p>
            <w:pPr>
              <w:spacing w:after="40"/>
            </w:pPr>
            <w:r>
              <w:t xml:space="preserve">Déployez-vous (ou visez-vous) plusieurs fois par semaine ?</w:t>
            </w:r>
          </w:p>
          <w:p>
            <w:pPr>
              <w:spacing w:after="40"/>
            </w:pPr>
            <w:r>
              <w:t xml:space="preserve"> → NON / pas encore : Feature Branching avec branches courtes est un bon socle.</w:t>
            </w:r>
          </w:p>
          <w:p>
            <w:pPr>
              <w:spacing w:after="40"/>
            </w:pPr>
            <w:r>
              <w:t xml:space="preserve"> → OUI : continuez ↓</w:t>
            </w:r>
          </w:p>
          <w:p>
            <w:pPr>
              <w:spacing w:after="40"/>
            </w:pPr>
            <w:r>
              <w:t xml:space="preserve"/>
            </w:r>
          </w:p>
          <w:p>
            <w:pPr>
              <w:spacing w:after="40"/>
            </w:pPr>
            <w:r>
              <w:t xml:space="preserve">Avez-vous les prérequis (tests solides + pipeline fiable + feature flags + build rapide + slicing) ?</w:t>
            </w:r>
          </w:p>
          <w:p>
            <w:pPr>
              <w:spacing w:after="40"/>
            </w:pPr>
            <w:r>
              <w:t xml:space="preserve"> → PAS ENCORE : Feature Branching, en construisant les prérequis. Vous migrerez ensuite.</w:t>
            </w:r>
          </w:p>
          <w:p>
            <w:pPr>
              <w:spacing w:after="40"/>
            </w:pPr>
            <w:r>
              <w:t xml:space="preserve"> → OUI : Trunk-Based est à votre portée et vous donnera la meilleure fréquence/fiabilité.</w:t>
            </w:r>
          </w:p>
        </w:tc>
      </w:tr>
    </w:tbl>
    <w:p>
      <w:pPr>
        <w:pStyle w:val="Heading2"/>
      </w:pPr>
      <w:r>
        <w:t xml:space="preserve">Chapitre 5 — Migrer progressivement (pas de big-bang)</w:t>
      </w:r>
    </w:p>
    <w:p>
      <w:pPr>
        <w:spacing w:after="120"/>
      </w:pPr>
      <w:r>
        <w:t xml:space="preserve">On ne change pas de modèle du jour au lendemain. La bonne nouvelle : les trois modèles forment un continuum, et on migre par étapes naturelles.</w:t>
      </w:r>
    </w:p>
    <w:p>
      <w:pPr>
        <w:pStyle w:val="ListParagraph"/>
        <w:numPr>
          <w:ilvl w:val="0"/>
          <w:numId w:val="3"/>
        </w:numPr>
      </w:pPr>
      <w:r>
        <w:t xml:space="preserve">De GitFlow vers Feature Branching : supprimer progressivement la branche develop (main devient la branche d'intégration), raccourcir les feature branches, systématiser les MR. On enlève la couche la plus lourde d'abord.</w:t>
      </w:r>
    </w:p>
    <w:p>
      <w:pPr>
        <w:pStyle w:val="ListParagraph"/>
        <w:numPr>
          <w:ilvl w:val="0"/>
          <w:numId w:val="3"/>
        </w:numPr>
      </w:pPr>
      <w:r>
        <w:t xml:space="preserve">De Feature Branching vers Trunk-Based : raccourcir encore les branches (viser quelques heures), introduire les feature flags pour le code incomplet, accélérer la revue (MR minuscules ou binôme), s'assurer que le pipeline est rapide et fiable.</w:t>
      </w:r>
    </w:p>
    <w:p>
      <w:pPr>
        <w:pStyle w:val="ListParagraph"/>
        <w:numPr>
          <w:ilvl w:val="0"/>
          <w:numId w:val="3"/>
        </w:numPr>
      </w:pPr>
      <w:r>
        <w:t xml:space="preserve">À chaque étape, mesurer : taille des MR, durée de vie des branches, fréquence d'intégration, deploy frequency. La migration est réussie quand ces indicateurs s'améliorent, pas quand on a coché 'on fait du Trunk-Based'.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60"/>
              <w:bottom w:type="dxa" w:w="120"/>
              <w:right w:type="dxa" w:w="160"/>
            </w:tcMar>
          </w:tcPr>
          <w:p>
            <w:pPr>
              <w:spacing w:after="60"/>
            </w:pPr>
            <w:r>
              <w:rPr>
                <w:b/>
                <w:bCs/>
                <w:color w:val="B7791F"/>
              </w:rPr>
              <w:t xml:space="preserve">Le bon état d'esprit de migration</w:t>
            </w:r>
          </w:p>
          <w:p>
            <w:pPr>
              <w:spacing w:after="40"/>
            </w:pPr>
            <w:r>
              <w:t xml:space="preserve">L'objectif n'est pas d'adopter un modèle pour le prestige (« on fait du Trunk-Based maintenant »), mais d'améliorer le flux de livraison réel. Si Feature Branching avec branches courtes vous donne ce dont vous avez besoin, c'est très bien. La direction générale (vers des branches plus courtes et une intégration plus fréquente) compte plus que l'étiquette du modèle.</w:t>
            </w:r>
          </w:p>
        </w:tc>
      </w:tr>
    </w:tbl>
    <w:p>
      <w:pPr>
        <w:pStyle w:val="Heading2"/>
      </w:pPr>
      <w:r>
        <w:t xml:space="preserve">Chapitre 6 — Le fil conducteur des trois modèles</w:t>
      </w:r>
    </w:p>
    <w:p>
      <w:pPr>
        <w:spacing w:after="120"/>
      </w:pPr>
      <w:r>
        <w:t xml:space="preserve">En prenant du recul, les trois modèles racontent une même histoire : la réduction de la durée de vie des branches. De GitFlow (branches longues, deux branches permanentes) à Feature Branching (branches courtes, une permanente) à Trunk-Based (branches quasi nulles), c'est la même tendance — intégrer plus tôt, plus souvent, pour que la divergence et donc le risque diminuent. Comprendre cela, c'est comprendre que le choix n'est pas entre trois options arbitraires, mais un curseur sur un même axe, qu'on règle selon son contexte et sa maturité.</w:t>
      </w:r>
    </w:p>
    <w:p>
      <w:pPr>
        <w:pStyle w:val="Heading2"/>
      </w:pPr>
      <w:r>
        <w:t xml:space="preserve">À retenir</w:t>
      </w:r>
    </w:p>
    <w:p>
      <w:pPr>
        <w:pStyle w:val="ListParagraph"/>
        <w:numPr>
          <w:ilvl w:val="0"/>
          <w:numId w:val="2"/>
        </w:numPr>
      </w:pPr>
      <w:r>
        <w:t xml:space="preserve">Pas de modèle universellement 'bon' : le choix dépend du contexte (rythme de livraison, type de produit, maturité, conformité).</w:t>
      </w:r>
    </w:p>
    <w:p>
      <w:pPr>
        <w:pStyle w:val="ListParagraph"/>
        <w:numPr>
          <w:ilvl w:val="0"/>
          <w:numId w:val="2"/>
        </w:numPr>
      </w:pPr>
      <w:r>
        <w:t xml:space="preserve">Critère structurant : le rythme de livraison. Espacé/versionné → GitFlow ; régulier → Feature Branching ; très fréquent → Trunk-Based.</w:t>
      </w:r>
    </w:p>
    <w:p>
      <w:pPr>
        <w:pStyle w:val="ListParagraph"/>
        <w:numPr>
          <w:ilvl w:val="0"/>
          <w:numId w:val="2"/>
        </w:numPr>
      </w:pPr>
      <w:r>
        <w:t xml:space="preserve">La conformité bancaire n'impose aucun modèle : les contrôles s'obtiennent partout (MR, binôme, pipeline, tags).</w:t>
      </w:r>
    </w:p>
    <w:p>
      <w:pPr>
        <w:pStyle w:val="ListParagraph"/>
        <w:numPr>
          <w:ilvl w:val="0"/>
          <w:numId w:val="2"/>
        </w:numPr>
      </w:pPr>
      <w:r>
        <w:t xml:space="preserve">Le Trunk-Based exige des prérequis ; sans eux, rester en Feature Branching et les construire.</w:t>
      </w:r>
    </w:p>
    <w:p>
      <w:pPr>
        <w:pStyle w:val="ListParagraph"/>
        <w:numPr>
          <w:ilvl w:val="0"/>
          <w:numId w:val="2"/>
        </w:numPr>
      </w:pPr>
      <w:r>
        <w:t xml:space="preserve">Migration progressive, pas big-bang : raccourcir les branches, supprimer develop, introduire les flags, accélérer la revue.</w:t>
      </w:r>
    </w:p>
    <w:p>
      <w:pPr>
        <w:pStyle w:val="ListParagraph"/>
        <w:numPr>
          <w:ilvl w:val="0"/>
          <w:numId w:val="2"/>
        </w:numPr>
      </w:pPr>
      <w:r>
        <w:t xml:space="preserve">Les trois modèles sont un curseur sur un même axe : la durée de vie des branches. On la règle selon son contexte.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6B3FA0"/>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333333"/>
      <w:sz w:val="26"/>
      <w:szCs w:val="26"/>
    </w:rPr>
  </w:style>
  <w:style w:type="paragraph" w:styleId="Heading3">
    <w:name w:val="Heading 3"/>
    <w:basedOn w:val="Normal"/>
    <w:next w:val="Normal"/>
    <w:qFormat/>
    <w:pPr>
      <w:spacing w:after="80" w:before="160"/>
      <w:outlineLvl w:val="2"/>
    </w:pPr>
    <w:rPr>
      <w:rFonts w:ascii="Arial" w:cs="Arial" w:eastAsia="Arial" w:hAnsi="Arial"/>
      <w:b/>
      <w:bCs/>
      <w:color w:val="6B3FA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2026-06-09T13:04:18.351Z</dcterms:created>
  <dcterms:modified xsi:type="dcterms:W3CDTF">2026-06-09T13:04:18.351Z</dcterms:modified>
</cp:coreProperties>
</file>

<file path=docProps/custom.xml><?xml version="1.0" encoding="utf-8"?>
<Properties xmlns="http://schemas.openxmlformats.org/officeDocument/2006/custom-properties" xmlns:vt="http://schemas.openxmlformats.org/officeDocument/2006/docPropsVTypes"/>
</file>