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48"/>
          <w:szCs w:val="48"/>
        </w:rPr>
        <w:t xml:space="preserve"> </w:t>
      </w:r>
    </w:p>
    <w:p>
      <w:pPr>
        <w:spacing w:after="60"/>
        <w:jc w:val="left"/>
      </w:pPr>
      <w:r>
        <w:rPr>
          <w:b/>
          <w:bCs/>
          <w:color w:val="0E7C7B"/>
          <w:sz w:val="26"/>
          <w:szCs w:val="26"/>
        </w:rPr>
        <w:t xml:space="preserve">FORMATION DEVOPS</w:t>
      </w:r>
    </w:p>
    <w:p>
      <w:pPr>
        <w:pBdr>
          <w:bottom w:val="single" w:color="1F3A93" w:sz="12" w:space="8"/>
        </w:pBdr>
        <w:spacing w:after="200"/>
      </w:pPr>
      <w:r>
        <w:rPr>
          <w:b/>
          <w:bCs/>
          <w:color w:val="1F3A93"/>
          <w:sz w:val="60"/>
          <w:szCs w:val="60"/>
        </w:rPr>
        <w:t xml:space="preserve">MODULE 03</w:t>
      </w:r>
    </w:p>
    <w:p>
      <w:pPr>
        <w:spacing w:after="100"/>
      </w:pPr>
      <w:r>
        <w:rPr>
          <w:b/>
          <w:bCs/>
          <w:color w:val="1A1F2B"/>
          <w:sz w:val="48"/>
          <w:szCs w:val="48"/>
        </w:rPr>
        <w:t xml:space="preserve">Qualité &amp; Sécurité</w:t>
      </w:r>
    </w:p>
    <w:p>
      <w:pPr>
        <w:spacing w:after="300"/>
      </w:pPr>
      <w:r>
        <w:rPr>
          <w:i/>
          <w:iCs/>
          <w:color w:val="4A5160"/>
          <w:sz w:val="26"/>
          <w:szCs w:val="26"/>
        </w:rPr>
        <w:t xml:space="preserve">SonarQube, Vault et la sécurité de la chaîne CI/CD</w:t>
      </w:r>
    </w:p>
    <w:p>
      <w:pPr>
        <w:spacing w:after="80"/>
      </w:pPr>
      <w:r>
        <w:rPr>
          <w:b/>
          <w:bCs/>
          <w:color w:val="1A1F2B"/>
          <w:sz w:val="22"/>
          <w:szCs w:val="22"/>
        </w:rPr>
        <w:t xml:space="preserve">Niveau : </w:t>
      </w:r>
      <w:r>
        <w:rPr>
          <w:b/>
          <w:bCs/>
          <w:color w:val="0E7C7B"/>
          <w:sz w:val="22"/>
          <w:szCs w:val="22"/>
        </w:rPr>
        <w:t xml:space="preserve">Intermédiaire → Avancé</w:t>
      </w:r>
    </w:p>
    <w:p>
      <w:pPr>
        <w:spacing w:after="300"/>
      </w:pPr>
      <w:r>
        <w:rPr>
          <w:b/>
          <w:bCs/>
          <w:color w:val="1A1F2B"/>
          <w:sz w:val="22"/>
          <w:szCs w:val="22"/>
        </w:rPr>
        <w:t xml:space="preserve">Stack : </w:t>
      </w:r>
      <w:r>
        <w:rPr>
          <w:color w:val="4A5160"/>
          <w:sz w:val="22"/>
          <w:szCs w:val="22"/>
        </w:rPr>
        <w:t xml:space="preserve">SonarQube · Quality Gate · SAST/DAST · Vault · Secrets</w:t>
      </w:r>
    </w:p>
    <w:p>
      <w:pPr>
        <w:spacing w:after="60"/>
      </w:pPr>
      <w:r>
        <w:rPr>
          <w:sz w:val="32"/>
          <w:szCs w:val="32"/>
        </w:rPr>
        <w:t xml:space="preserve"> </w:t>
      </w:r>
    </w:p>
    <w:p>
      <w:r>
        <w:rPr>
          <w:i/>
          <w:iCs/>
          <w:color w:val="7A828F"/>
          <w:sz w:val="18"/>
          <w:szCs w:val="18"/>
        </w:rPr>
        <w:t xml:space="preserve">Parcours complet « de zéro à expert » — GitLab · Kustomize · SonarQube · Vault · Artifactory · ArgoCD · Flux · GCP · Feature Flags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Décaler la qualité et la sécurité « à gauche »</w:t>
      </w:r>
    </w:p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OBJECTIFS PÉDAGOGIQUES DE CE MODULE</w:t>
            </w:r>
          </w:p>
          <w:p>
            <w:pPr>
              <w:spacing w:after="60" w:line="264"/>
            </w:pPr>
            <w:r>
              <w:t xml:space="preserve">Intégrer SonarQube et son Quality Gate dans le pipeline.</w:t>
            </w:r>
          </w:p>
          <w:p>
            <w:pPr>
              <w:spacing w:after="60" w:line="264"/>
            </w:pPr>
            <w:r>
              <w:t xml:space="preserve">Comprendre la philosophie « Clean as You Code ».</w:t>
            </w:r>
          </w:p>
          <w:p>
            <w:pPr>
              <w:spacing w:after="60" w:line="264"/>
            </w:pPr>
            <w:r>
              <w:t xml:space="preserve">Distinguer SAST, DAST, SCA et scan de secrets.</w:t>
            </w:r>
          </w:p>
          <w:p>
            <w:pPr>
              <w:spacing w:after="0" w:line="264"/>
            </w:pPr>
            <w:r>
              <w:t xml:space="preserve">Gérer les secrets avec Vault : moteurs, politiques, secrets dynamiques.</w:t>
            </w:r>
          </w:p>
        </w:tc>
      </w:tr>
    </w:tbl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« Shift left » : plus un défaut (bug, vulnérabilité, secret en clair) est détecté tôt, moins il coûte cher. L’objectif est de transformer la CI en garde-fou qui bloque les problèmes avant la production.</w:t>
      </w:r>
    </w:p>
    <w:p>
      <w:pPr>
        <w:pStyle w:val="Heading1"/>
      </w:pPr>
      <w:r>
        <w:t xml:space="preserve">2. SonarQube : la qualité du code</w:t>
      </w:r>
    </w:p>
    <w:p>
      <w:pPr>
        <w:pStyle w:val="Heading2"/>
      </w:pPr>
      <w:r>
        <w:t xml:space="preserve">2.1 Ce que mesure SonarQube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Bugs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NullPointerException probable, ressource non fermée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Fiabilité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Vulnérabilités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Injection SQL, désérialisation non sûre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Sécurité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Security Hotspots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Usage de crypto à vérifier manuellement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Sécurité (revue)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Code Smells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Méthode trop complexe, code dupliqué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Maintenabilité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Couverture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% de code couvert par les tests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Tests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Duplication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% de lignes dupliquées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Maintenabilité</w:t>
            </w:r>
          </w:p>
        </w:tc>
      </w:tr>
    </w:tbl>
    <w:p>
      <w:pPr>
        <w:pStyle w:val="Heading2"/>
      </w:pPr>
      <w:r>
        <w:t xml:space="preserve">2.2 Clean as You Code</w:t>
      </w:r>
    </w:p>
    <w:p>
      <w:pPr>
        <w:spacing w:after="120" w:line="276"/>
      </w:pPr>
      <w:r>
        <w:t xml:space="preserve">La philosophie moderne de SonarQube est de </w:t>
      </w:r>
      <w:r>
        <w:rPr>
          <w:b/>
          <w:bCs/>
        </w:rPr>
        <w:t xml:space="preserve">ne pas</w:t>
      </w:r>
      <w:r>
        <w:t xml:space="preserve"> chercher à corriger toute la dette d’un legacy d’un coup. On se concentre sur le </w:t>
      </w:r>
      <w:r>
        <w:rPr>
          <w:b/>
          <w:bCs/>
        </w:rPr>
        <w:t xml:space="preserve">New Code</w:t>
      </w:r>
      <w:r>
        <w:t xml:space="preserve"> : le code ajouté ou modifié depuis une date / version de référence. Règle simple : </w:t>
      </w:r>
      <w:r>
        <w:rPr>
          <w:i/>
          <w:iCs/>
        </w:rPr>
        <w:t xml:space="preserve">« le nouveau code doit être propre »</w:t>
      </w:r>
      <w:r>
        <w:t xml:space="preserve">. La dette historique se résorbe alors naturellement, fichier après fichier, à mesure qu’on les touche.</w:t>
      </w:r>
    </w:p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BONNE PRATIQUE</w:t>
            </w:r>
          </w:p>
          <w:p>
            <w:pPr>
              <w:spacing w:after="0" w:line="264"/>
            </w:pPr>
            <w:r>
              <w:t xml:space="preserve">Définis une </w:t>
            </w:r>
            <w:r>
              <w:rPr>
                <w:b/>
                <w:bCs/>
              </w:rPr>
              <w:t xml:space="preserve">New Code Period</w:t>
            </w:r>
            <w:r>
              <w:t xml:space="preserve"> (ex : « depuis la version précédente » ou « 30 jours glissants »). Le Quality Gate ne juge que ce périmètre. Cela rend l’adoption indolore même sur une base de code ancienne et volumineuse.</w:t>
            </w:r>
          </w:p>
        </w:tc>
      </w:tr>
    </w:tbl>
    <w:p>
      <w:pPr>
        <w:pStyle w:val="Heading2"/>
      </w:pPr>
      <w:r>
        <w:t xml:space="preserve">2.3 Le Quality Gate</w:t>
      </w:r>
    </w:p>
    <w:p>
      <w:pPr>
        <w:spacing w:after="120" w:line="276"/>
      </w:pPr>
      <w:r>
        <w:t xml:space="preserve">Le </w:t>
      </w:r>
      <w:r>
        <w:rPr>
          <w:b/>
          <w:bCs/>
        </w:rPr>
        <w:t xml:space="preserve">Quality Gate</w:t>
      </w:r>
      <w:r>
        <w:t xml:space="preserve"> est l’ensemble des conditions que le code doit remplir pour être accepté. S’il échoue, la CI échoue. Un gate « Sonar way » par défaut sur le New Code ressemble à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Seuil typique</w:t>
            </w:r>
          </w:p>
        </w:tc>
      </w:tr>
      <w:tr>
        <w:tc>
          <w:tcPr>
            <w:tcW w:type="dxa" w:w="5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Couverture sur le nouveau code</w:t>
            </w:r>
          </w:p>
        </w:tc>
        <w:tc>
          <w:tcPr>
            <w:tcW w:type="dxa" w:w="3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≥ 80 %</w:t>
            </w:r>
          </w:p>
        </w:tc>
      </w:tr>
      <w:tr>
        <w:tc>
          <w:tcPr>
            <w:tcW w:type="dxa" w:w="5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Lignes dupliquées (nouveau code)</w:t>
            </w:r>
          </w:p>
        </w:tc>
        <w:tc>
          <w:tcPr>
            <w:tcW w:type="dxa" w:w="3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≤ 3 %</w:t>
            </w:r>
          </w:p>
        </w:tc>
      </w:tr>
      <w:tr>
        <w:tc>
          <w:tcPr>
            <w:tcW w:type="dxa" w:w="5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Note de maintenabilité (nouveau code)</w:t>
            </w:r>
          </w:p>
        </w:tc>
        <w:tc>
          <w:tcPr>
            <w:tcW w:type="dxa" w:w="3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</w:t>
            </w:r>
          </w:p>
        </w:tc>
      </w:tr>
      <w:tr>
        <w:tc>
          <w:tcPr>
            <w:tcW w:type="dxa" w:w="5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Note de fiabilité (nouveau code)</w:t>
            </w:r>
          </w:p>
        </w:tc>
        <w:tc>
          <w:tcPr>
            <w:tcW w:type="dxa" w:w="3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</w:t>
            </w:r>
          </w:p>
        </w:tc>
      </w:tr>
      <w:tr>
        <w:tc>
          <w:tcPr>
            <w:tcW w:type="dxa" w:w="5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Note de sécurité (nouveau code)</w:t>
            </w:r>
          </w:p>
        </w:tc>
        <w:tc>
          <w:tcPr>
            <w:tcW w:type="dxa" w:w="3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</w:t>
            </w:r>
          </w:p>
        </w:tc>
      </w:tr>
      <w:tr>
        <w:tc>
          <w:tcPr>
            <w:tcW w:type="dxa" w:w="56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Security Hotspots revus</w:t>
            </w:r>
          </w:p>
        </w:tc>
        <w:tc>
          <w:tcPr>
            <w:tcW w:type="dxa" w:w="3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100 %</w:t>
            </w:r>
          </w:p>
        </w:tc>
      </w:tr>
    </w:tbl>
    <w:p>
      <w:pPr>
        <w:pStyle w:val="Heading2"/>
      </w:pPr>
      <w:r>
        <w:t xml:space="preserve">2.4 Intégration GitLab CI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sonarqube-check: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stage: test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image: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name: sonarsource/sonar-scanner-cli:latest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entrypoint: [""]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variables: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SONAR_USER_HOME: "${CI_PROJECT_DIR}/.sonar"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GIT_DEPTH: "0"          # historique complet → blame/New Code fiable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cache: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key: sonar-${CI_COMMIT_REF_SLUG}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paths: [".sonar/cache"]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script: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sonar-scanner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-Dsonar.host.url="${SONAR_HOST_URL}"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-Dsonar.token="${SONAR_TOKEN}"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-Dsonar.qualitygate.wait=true   # ← bloque tant que le gate n'a pas répondu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rules: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if: '$CI_PIPELINE_SOURCE == "merge_request_event"'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if: '$CI_COMMIT_BRANCH == $CI_DEFAULT_BRANCH'</w:t>
            </w:r>
          </w:p>
        </w:tc>
      </w:tr>
    </w:tbl>
    <w:tbl>
      <w:tblPr>
        <w:tblW w:type="dxa" w:w="9026"/>
        <w:tblBorders>
          <w:top w:val="none" w:color="FFFFFF" w:sz="0"/>
          <w:left w:val="single" w:color="C26A12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26A12" w:sz="24"/>
              <w:bottom w:val="none" w:color="FFFFFF" w:sz="0"/>
              <w:right w:val="none" w:color="FFFFFF" w:sz="0"/>
            </w:tcBorders>
            <w:shd w:fill="FDF1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6A12"/>
                <w:sz w:val="20"/>
                <w:szCs w:val="20"/>
              </w:rPr>
              <w:t xml:space="preserve">⚠  </w:t>
            </w:r>
            <w:r>
              <w:rPr>
                <w:b/>
                <w:bCs/>
                <w:color w:val="C26A12"/>
                <w:sz w:val="18"/>
                <w:szCs w:val="18"/>
              </w:rPr>
              <w:t xml:space="preserve">LE PARAMÈTRE QUI CHANGE TOUT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-Dsonar.qualitygate.wait=true</w:t>
            </w:r>
            <w:r>
              <w:t xml:space="preserve"> fait </w:t>
            </w:r>
            <w:r>
              <w:rPr>
                <w:b/>
                <w:bCs/>
              </w:rPr>
              <w:t xml:space="preserve">attendre</w:t>
            </w:r>
            <w:r>
              <w:t xml:space="preserve"> le scanner que SonarQube ait calculé le verdict, et fait </w:t>
            </w:r>
            <w:r>
              <w:rPr>
                <w:b/>
                <w:bCs/>
              </w:rPr>
              <w:t xml:space="preserve">échouer le job</w:t>
            </w:r>
            <w:r>
              <w:t xml:space="preserve"> si le gate est rouge. Sans lui, le scan « remonte » les données mais ne bloque jamais la MR — le contrôle qualité devient décoratif.</w:t>
            </w:r>
          </w:p>
        </w:tc>
      </w:tr>
    </w:tbl>
    <w:p>
      <w:pPr>
        <w:spacing w:after="120" w:line="276"/>
      </w:pPr>
      <w:r>
        <w:t xml:space="preserve">Couple ce job au </w:t>
      </w:r>
      <w:r>
        <w:rPr>
          <w:b/>
          <w:bCs/>
        </w:rPr>
        <w:t xml:space="preserve">statut de MR</w:t>
      </w:r>
      <w:r>
        <w:t xml:space="preserve"> GitLab : SonarQube poste un commentaire et un statut directement dans la Merge Request, visible par le relecteur.</w:t>
      </w:r>
    </w:p>
    <w:p>
      <w:r>
        <w:br w:type="page"/>
      </w:r>
    </w:p>
    <w:p>
      <w:pPr>
        <w:pStyle w:val="Heading1"/>
      </w:pPr>
      <w:r>
        <w:t xml:space="preserve">3. La sécurité applicative dans le pipeline</w:t>
      </w:r>
    </w:p>
    <w:p>
      <w:pPr>
        <w:spacing w:after="120" w:line="276"/>
      </w:pPr>
      <w:r>
        <w:t xml:space="preserve">SonarQube couvre une partie de la sécurité (code), mais une chaîne complète combine plusieurs familles de scanners. GitLab fournit des templates prêts à l’emploi pour chacun.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26"/>
        <w:gridCol w:w="3400"/>
      </w:tblGrid>
      <w:tr>
        <w:trPr>
          <w:tblHeader/>
        </w:trP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Famille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qu’elle analyse</w:t>
            </w:r>
          </w:p>
        </w:tc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 d’outil / template GitLab</w:t>
            </w:r>
          </w:p>
        </w:tc>
      </w:tr>
      <w:t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SAST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 code source (analyse statique)</w:t>
            </w:r>
          </w:p>
        </w:tc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Jobs/SAST.gitlab-ci.yml</w:t>
            </w:r>
            <w:r>
              <w:t xml:space="preserve">, Semgrep</w:t>
            </w:r>
          </w:p>
        </w:tc>
      </w:tr>
      <w:t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DAST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L’application en cours d’exécution</w:t>
            </w:r>
          </w:p>
        </w:tc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DAST.gitlab-ci.yml</w:t>
            </w:r>
            <w:r>
              <w:t xml:space="preserve">, OWASP ZAP</w:t>
            </w:r>
          </w:p>
        </w:tc>
      </w:tr>
      <w:t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SCA / Dependency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Les dépendances tierces et leurs CVE</w:t>
            </w:r>
          </w:p>
        </w:tc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Dependency-Scanning.gitlab-ci.yml</w:t>
            </w:r>
          </w:p>
        </w:tc>
      </w:tr>
      <w:t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Container Scanning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Les images et leurs couches</w:t>
            </w:r>
          </w:p>
        </w:tc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Container-Scanning.gitlab-ci.yml</w:t>
            </w:r>
            <w:r>
              <w:t xml:space="preserve">, Trivy</w:t>
            </w:r>
          </w:p>
        </w:tc>
      </w:tr>
      <w:t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Secret Detection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Les secrets commités par erreur</w:t>
            </w:r>
          </w:p>
        </w:tc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Secret-Detection.gitlab-ci.yml</w:t>
            </w:r>
          </w:p>
        </w:tc>
      </w:tr>
      <w:tr>
        <w:tc>
          <w:tcPr>
            <w:tcW w:type="dxa" w:w="18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IaC Scanning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Les manifestes infra (K8s, Terraform)</w:t>
            </w:r>
          </w:p>
        </w:tc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SAST-IaC.gitlab-ci.yml</w:t>
            </w:r>
          </w:p>
        </w:tc>
      </w:tr>
    </w:tbl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include: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template: Jobs/SAST.gitlab-ci.yml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template: Jobs/Secret-Detection.gitlab-ci.yml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template: Jobs/Dependency-Scanning.gitlab-ci.yml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template: Jobs/Container-Scanning.gitlab-ci.yml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Les rapports remontent dans l'onglet Sécurité de la MR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variables: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SECURE_LOG_LEVEL: "info"</w:t>
            </w:r>
          </w:p>
        </w:tc>
      </w:tr>
    </w:tbl>
    <w:p>
      <w:pPr>
        <w:pStyle w:val="Heading2"/>
      </w:pPr>
      <w:r>
        <w:t xml:space="preserve">3.1 Chaîne d’approvisionnement (supply chain)</w:t>
      </w:r>
    </w:p>
    <w:p>
      <w:pPr>
        <w:spacing w:after="120" w:line="276"/>
      </w:pPr>
      <w:r>
        <w:t xml:space="preserve">Les attaques modernes ne visent plus seulement ton code, mais tes </w:t>
      </w:r>
      <w:r>
        <w:rPr>
          <w:b/>
          <w:bCs/>
        </w:rPr>
        <w:t xml:space="preserve">dépendances</w:t>
      </w:r>
      <w:r>
        <w:t xml:space="preserve"> : un paquet npm/Maven compromis exécute du code malveillant pendant ton build. Quelques contre-mesures concrètes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Lockfiles</w:t>
      </w:r>
      <w:r>
        <w:t xml:space="preserve"> versionnés (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package-lock.json</w:t>
      </w:r>
      <w:r>
        <w:t xml:space="preserve">,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poetry.lock</w:t>
      </w:r>
      <w:r>
        <w:t xml:space="preserve">…) pour des installs déterministes.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Dependency cooldown</w:t>
      </w:r>
      <w:r>
        <w:t xml:space="preserve"> : refuser une dépendance publiée il y a moins de N jours (le temps que les paquets malveillants soient détectés et retirés).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SBOM</w:t>
      </w:r>
      <w:r>
        <w:t xml:space="preserve"> (Software Bill of Materials) : inventaire signé de tout ce qui compose l’artefact.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Proxy de dépendances</w:t>
      </w:r>
      <w:r>
        <w:t xml:space="preserve"> (Artifactory, module 04) : on ne tire jamais directement depuis l’Internet public.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Exemple : job qui refuse les dépendances trop récentes (cooldown)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dependency-cooldown: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stage: test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script: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python ci/check_cooldown.py --min-age-days 14 --manifest package-lock.json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rules: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if: '$CI_PIPELINE_SOURCE == "merge_request_event"'</w:t>
            </w:r>
          </w:p>
        </w:tc>
      </w:tr>
    </w:tbl>
    <w:tbl>
      <w:tblPr>
        <w:tblW w:type="dxa" w:w="9026"/>
        <w:tblBorders>
          <w:top w:val="none" w:color="FFFFFF" w:sz="0"/>
          <w:left w:val="single" w:color="B3261E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BE9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✖  </w:t>
            </w:r>
            <w:r>
              <w:rPr>
                <w:b/>
                <w:bCs/>
                <w:color w:val="B3261E"/>
                <w:sz w:val="18"/>
                <w:szCs w:val="18"/>
              </w:rPr>
              <w:t xml:space="preserve">MÉFIE-TOI DES DIGESTS « TROP PRÉCIS »</w:t>
            </w:r>
          </w:p>
          <w:p>
            <w:pPr>
              <w:spacing w:after="0" w:line="264"/>
            </w:pPr>
            <w:r>
              <w:t xml:space="preserve">Les recommandations de sécurité automatiques (y compris générées par IA) peuvent </w:t>
            </w:r>
            <w:r>
              <w:rPr>
                <w:b/>
                <w:bCs/>
              </w:rPr>
              <w:t xml:space="preserve">halluciner</w:t>
            </w:r>
            <w:r>
              <w:t xml:space="preserve"> des flags inexistants ou des digests fabriqués. Vérifie toujours qu’un hash/digest cité existe réellement avant de l’épingler — un faux digest casse le build au mieux, masque un vrai problème au pire.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Vault : la gestion des secrets</w:t>
      </w:r>
    </w:p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HashiCorp Vault centralise, chiffre et contrôle l’accès aux secrets (mots de passe, clés API, certificats). Le principe directeur : aucun secret ne vit en clair dans le code, le YAML, une variable CI ou une image.</w:t>
      </w:r>
    </w:p>
    <w:p>
      <w:pPr>
        <w:pStyle w:val="Heading2"/>
      </w:pPr>
      <w:r>
        <w:t xml:space="preserve">4.1 Modèle de Vault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Notion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Secrets Engine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Module qui stocke ou génère des secrets (kv, database, pki, transit…)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Auth Method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Comment un client prouve son identité (AppRole, JWT/OIDC, Kubernetes…)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Policy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Ce qu’une identité a le droit de lire/écrire (HCL, moindre privilège)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Token / Lease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Jeton d’accès à durée de vie limitée, révocable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Dynamic Secret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Secret généré à la demande, valable un temps court, puis révoqué</w:t>
            </w:r>
          </w:p>
        </w:tc>
      </w:tr>
    </w:tbl>
    <w:p>
      <w:pPr>
        <w:pStyle w:val="Heading2"/>
      </w:pPr>
      <w:r>
        <w:t xml:space="preserve">4.2 Secrets statiques (KV v2)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Écrire un secret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vault kv put secret/app/payments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db_user="svc_pay" db_password="$(openssl rand -base64 24)"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Lire un secret (selon la politique de l'appelant)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vault kv get -field=db_password secret/app/payments</w:t>
            </w:r>
          </w:p>
        </w:tc>
      </w:tr>
    </w:tbl>
    <w:p>
      <w:pPr>
        <w:pStyle w:val="Heading2"/>
      </w:pPr>
      <w:r>
        <w:t xml:space="preserve">4.3 Secrets dynamiques : le vrai pouvoir de Vault</w:t>
      </w:r>
    </w:p>
    <w:p>
      <w:pPr>
        <w:spacing w:after="120" w:line="276"/>
      </w:pPr>
      <w:r>
        <w:t xml:space="preserve">Plutôt que de stocker un mot de passe de base de données fixe, Vault peut </w:t>
      </w:r>
      <w:r>
        <w:rPr>
          <w:b/>
          <w:bCs/>
        </w:rPr>
        <w:t xml:space="preserve">créer un compte temporaire à la demande</w:t>
      </w:r>
      <w:r>
        <w:t xml:space="preserve">, valable quelques minutes, puis le supprimer automatiquement. Un secret qui n’existe que le temps d’un job ne peut pas vraiment fuiter.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Configurer le moteur "database" (PostgreSQL) une fois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vault secrets enable database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vault write database/roles/payments-readonly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db_name=app-pg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creation_statements="CREATE ROLE \"{{name}}\" WITH LOGIN PASSWORD '{{password}}' VALID UNTIL '{{expiration}}'; GRANT SELECT ON ALL TABLES IN SCHEMA public TO \"{{name}}\";"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default_ttl="15m" max_ttl="1h"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À l'exécution, l'app/le job demande un identifiant éphémère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vault read database/creds/payments-readonly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→ username/password valides 15 minutes, révoqués ensuite</w:t>
            </w:r>
          </w:p>
        </w:tc>
      </w:tr>
    </w:tbl>
    <w:p>
      <w:pPr>
        <w:pStyle w:val="Heading2"/>
      </w:pPr>
      <w:r>
        <w:t xml:space="preserve">4.4 Politiques : le moindre privilège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HCL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policy: payments-ci.hcl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path "secret/data/app/payments"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capabilities = ["read"]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path "database/creds/payments-readonly"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capabilities = ["read"]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tout le reste est implicitement refusé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BONNE PRATIQUE</w:t>
            </w:r>
          </w:p>
          <w:p>
            <w:pPr>
              <w:spacing w:after="0" w:line="264"/>
            </w:pPr>
            <w:r>
              <w:t xml:space="preserve">Une politique Vault s’écrit en </w:t>
            </w:r>
            <w:r>
              <w:rPr>
                <w:b/>
                <w:bCs/>
              </w:rPr>
              <w:t xml:space="preserve">liste blanche</w:t>
            </w:r>
            <w:r>
              <w:t xml:space="preserve"> : on n’autorise que les chemins strictement nécessaires. Une identité de CI ne doit pouvoir lire </w:t>
            </w:r>
            <w:r>
              <w:rPr>
                <w:b/>
                <w:bCs/>
              </w:rPr>
              <w:t xml:space="preserve">que</w:t>
            </w:r>
            <w:r>
              <w:t xml:space="preserve"> les secrets de l’application qu’elle déploie, rien d’autre.</w:t>
            </w:r>
          </w:p>
        </w:tc>
      </w:tr>
    </w:tbl>
    <w:p>
      <w:pPr>
        <w:pStyle w:val="Heading2"/>
      </w:pPr>
      <w:r>
        <w:t xml:space="preserve">4.5 Intégration GitLab CI (JWT/OIDC)</w:t>
      </w:r>
    </w:p>
    <w:p>
      <w:pPr>
        <w:spacing w:after="120" w:line="276"/>
      </w:pPr>
      <w:r>
        <w:t xml:space="preserve">GitLab peut s’authentifier auprès de Vault </w:t>
      </w:r>
      <w:r>
        <w:rPr>
          <w:b/>
          <w:bCs/>
        </w:rPr>
        <w:t xml:space="preserve">sans secret partagé</w:t>
      </w:r>
      <w:r>
        <w:t xml:space="preserve">, via un jeton JWT signé que GitLab émet pour chaque job (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CI_JOB_JWT_V2</w:t>
      </w:r>
      <w:r>
        <w:t xml:space="preserve"> / OIDC). Vault vérifie la signature et les </w:t>
      </w:r>
      <w:r>
        <w:rPr>
          <w:i/>
          <w:iCs/>
        </w:rPr>
        <w:t xml:space="preserve">claims</w:t>
      </w:r>
      <w:r>
        <w:t xml:space="preserve"> (projet, branche, environnement) pour décider quelle politique appliquer.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payments-deploy: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id_tokens: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VAULT_ID_TOKEN: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aud: https://vault.example.com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script: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export VAULT_ADDR=https://vault.example.com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# Échange du JWT contre un token Vault à court TTL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export VAULT_TOKEN="$(vault write -field=token auth/jwt/login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role=payments-ci jwt=$VAULT_ID_TOKEN)"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# Récupère un secret dynamique, l'utilise, puis le lease expire seul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export DB_PASS="$(vault read -field=password database/creds/payments-readonly)"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./deploy.sh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environment: { name: production }</w:t>
            </w:r>
          </w:p>
        </w:tc>
      </w:tr>
    </w:tbl>
    <w:tbl>
      <w:tblPr>
        <w:tblW w:type="dxa" w:w="9026"/>
        <w:tblBorders>
          <w:top w:val="none" w:color="FFFFFF" w:sz="0"/>
          <w:left w:val="single" w:color="B3261E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BE9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✖  </w:t>
            </w:r>
            <w:r>
              <w:rPr>
                <w:b/>
                <w:bCs/>
                <w:color w:val="B3261E"/>
                <w:sz w:val="18"/>
                <w:szCs w:val="18"/>
              </w:rPr>
              <w:t xml:space="preserve">POURQUOI OIDC PLUTÔT QU’UN TOKEN STATIQUE</w:t>
            </w:r>
          </w:p>
          <w:p>
            <w:pPr>
              <w:spacing w:after="0" w:line="264"/>
            </w:pPr>
            <w:r>
              <w:t xml:space="preserve">Mettre un token Vault permanent dans une variable CI revient à déplacer le problème : ce token devient lui-même un secret à protéger, exfiltrable. Avec JWT/OIDC, </w:t>
            </w:r>
            <w:r>
              <w:rPr>
                <w:b/>
                <w:bCs/>
              </w:rPr>
              <w:t xml:space="preserve">aucun secret durable</w:t>
            </w:r>
            <w:r>
              <w:t xml:space="preserve"> ne transite : GitLab prouve son identité par cryptographie, et reçoit un token jetable lié au job exact.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Mettre les morceaux ensemble</w:t>
      </w:r>
    </w:p>
    <w:p>
      <w:pPr>
        <w:spacing w:after="120" w:line="276"/>
      </w:pPr>
      <w:r>
        <w:t xml:space="preserve">Un stage « test » mature ressemble à ceci : qualité et sécurité bloquent, les secrets ne sont jamais persistés.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stages: [build, test, package]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include: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template: Jobs/SAST.gitlab-ci.yml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template: Jobs/Secret-Detection.gitlab-ci.yml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template: Jobs/Dependency-Scanning.gitlab-ci.yml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sonarqube-check: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stage: test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extends: .maven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script: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sonar-scanner -Dsonar.qualitygate.wait=true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needs: ["build"]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→ si Quality Gate rouge, ou CVE critique, ou secret détecté : MR bloquée</w:t>
            </w:r>
          </w:p>
        </w:tc>
      </w:tr>
    </w:tbl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ORDRE DE BLOCAGE RECOMMANDÉ</w:t>
            </w:r>
          </w:p>
          <w:p>
            <w:pPr>
              <w:spacing w:after="0" w:line="264"/>
            </w:pPr>
            <w:r>
              <w:t xml:space="preserve">1. </w:t>
            </w:r>
            <w:r>
              <w:rPr>
                <w:b/>
                <w:bCs/>
              </w:rPr>
              <w:t xml:space="preserve">Secret detection</w:t>
            </w:r>
            <w:r>
              <w:t xml:space="preserve"> (un secret commité = incident immédiat). 2. </w:t>
            </w:r>
            <w:r>
              <w:rPr>
                <w:b/>
                <w:bCs/>
              </w:rPr>
              <w:t xml:space="preserve">SAST + Quality Gate</w:t>
            </w:r>
            <w:r>
              <w:t xml:space="preserve"> (qualité et sécurité du code). 3. </w:t>
            </w:r>
            <w:r>
              <w:rPr>
                <w:b/>
                <w:bCs/>
              </w:rPr>
              <w:t xml:space="preserve">Dependency/Container scanning</w:t>
            </w:r>
            <w:r>
              <w:t xml:space="preserve"> (CVE des dépendances et images). Un seul rouge bloque la fusion.</w:t>
            </w:r>
          </w:p>
        </w:tc>
      </w:tr>
    </w:tbl>
    <w:p>
      <w:pPr>
        <w:pBdr>
          <w:bottom w:val="single" w:color="D6DBE3" w:sz="6" w:space="2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À retenir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SonarQube</w:t>
      </w:r>
      <w:r>
        <w:t xml:space="preserve"> + </w:t>
      </w:r>
      <w:r>
        <w:rPr>
          <w:b/>
          <w:bCs/>
        </w:rPr>
        <w:t xml:space="preserve">Quality Gate</w:t>
      </w:r>
      <w:r>
        <w:t xml:space="preserve"> (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qualitygate.wait=true</w:t>
      </w:r>
      <w:r>
        <w:t xml:space="preserve">) transforment la qualité en contrainte bloquante.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Clean as You Code</w:t>
      </w:r>
      <w:r>
        <w:t xml:space="preserve"> : ne juger que le </w:t>
      </w:r>
      <w:r>
        <w:rPr>
          <w:b/>
          <w:bCs/>
        </w:rPr>
        <w:t xml:space="preserve">nouveau code</w:t>
      </w:r>
      <w:r>
        <w:t xml:space="preserve">, la dette se résorbe d’elle-même.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Une chaîne complète combine </w:t>
      </w:r>
      <w:r>
        <w:rPr>
          <w:b/>
          <w:bCs/>
        </w:rPr>
        <w:t xml:space="preserve">SAST, DAST, SCA, container, secret, IaC scanning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 </w:t>
      </w:r>
      <w:r>
        <w:rPr>
          <w:b/>
          <w:bCs/>
        </w:rPr>
        <w:t xml:space="preserve">supply chain</w:t>
      </w:r>
      <w:r>
        <w:t xml:space="preserve"> est une cible : lockfiles, cooldown, SBOM, proxy de dépendances.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Vault</w:t>
      </w:r>
      <w:r>
        <w:t xml:space="preserve"> : moindre privilège, secrets </w:t>
      </w:r>
      <w:r>
        <w:rPr>
          <w:b/>
          <w:bCs/>
        </w:rPr>
        <w:t xml:space="preserve">dynamiques</w:t>
      </w:r>
      <w:r>
        <w:t xml:space="preserve"> à TTL court, auth </w:t>
      </w:r>
      <w:r>
        <w:rPr>
          <w:b/>
          <w:bCs/>
        </w:rPr>
        <w:t xml:space="preserve">OIDC</w:t>
      </w:r>
      <w:r>
        <w:t xml:space="preserve"> sans secret durable.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Aucun secret en clair dans le code, le YAML, une variable, un artefact ou une image.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BE3" w:sz="4" w:space="4"/>
      </w:pBdr>
      <w:tabs>
        <w:tab w:val="right" w:pos="9026"/>
      </w:tabs>
    </w:pPr>
    <w:r>
      <w:rPr>
        <w:color w:val="7A828F"/>
        <w:sz w:val="15"/>
        <w:szCs w:val="15"/>
      </w:rPr>
      <w:t xml:space="preserve">Usage interne — CC BY-SA</w:t>
    </w:r>
    <w:r>
      <w:rPr>
        <w:color w:val="7A828F"/>
        <w:sz w:val="15"/>
        <w:szCs w:val="15"/>
      </w:rPr>
      <w:t xml:space="preserve">	Page </w:t>
    </w:r>
    <w:r>
      <w:rPr>
        <w:color w:val="7A828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A828F"/>
        <w:sz w:val="15"/>
        <w:szCs w:val="15"/>
      </w:rPr>
      <w:t xml:space="preserve"> / </w:t>
    </w:r>
    <w:r>
      <w:rPr>
        <w:color w:val="7A828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BE3" w:sz="4" w:space="4"/>
      </w:pBdr>
      <w:tabs>
        <w:tab w:val="right" w:pos="9026"/>
      </w:tabs>
    </w:pPr>
    <w:r>
      <w:rPr>
        <w:b/>
        <w:bCs/>
        <w:color w:val="1F3A93"/>
        <w:sz w:val="16"/>
        <w:szCs w:val="16"/>
      </w:rPr>
      <w:t xml:space="preserve">Formation DevOps</w:t>
    </w:r>
    <w:r>
      <w:rPr>
        <w:color w:val="7A828F"/>
        <w:sz w:val="16"/>
        <w:szCs w:val="16"/>
      </w:rPr>
      <w:t xml:space="preserve">	Module 03 — Qualité &amp; Sécurité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93" w:sz="8" w:space="6"/>
      </w:pBdr>
      <w:spacing w:after="180" w:before="360"/>
      <w:outlineLvl w:val="0"/>
    </w:pPr>
    <w:rPr>
      <w:rFonts w:ascii="Calibri" w:cs="Calibri" w:eastAsia="Calibri" w:hAnsi="Calibri"/>
      <w:b/>
      <w:bCs/>
      <w:color w:val="1F3A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F3A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E7C7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1A1F2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DevOps</dc:title>
  <dc:creator>Formation DevOps</dc:creator>
  <cp:lastModifiedBy>Un-named</cp:lastModifiedBy>
  <cp:revision>1</cp:revision>
  <dcterms:created xsi:type="dcterms:W3CDTF">2026-05-27T11:16:10.306Z</dcterms:created>
  <dcterms:modified xsi:type="dcterms:W3CDTF">2026-05-27T11:16:10.306Z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