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48"/>
          <w:szCs w:val="48"/>
        </w:rPr>
        <w:t xml:space="preserve"> </w:t>
      </w:r>
    </w:p>
    <w:p>
      <w:pPr>
        <w:spacing w:after="60"/>
        <w:jc w:val="left"/>
      </w:pPr>
      <w:r>
        <w:rPr>
          <w:b/>
          <w:bCs/>
          <w:color w:val="0E7C7B"/>
          <w:sz w:val="26"/>
          <w:szCs w:val="26"/>
        </w:rPr>
        <w:t xml:space="preserve">FORMATION DEVOPS</w:t>
      </w:r>
    </w:p>
    <w:p>
      <w:pPr>
        <w:pBdr>
          <w:bottom w:val="single" w:color="1F3A93" w:sz="12" w:space="8"/>
        </w:pBdr>
        <w:spacing w:after="200"/>
      </w:pPr>
      <w:r>
        <w:rPr>
          <w:b/>
          <w:bCs/>
          <w:color w:val="1F3A93"/>
          <w:sz w:val="60"/>
          <w:szCs w:val="60"/>
        </w:rPr>
        <w:t xml:space="preserve">MODULE 06</w:t>
      </w:r>
    </w:p>
    <w:p>
      <w:pPr>
        <w:spacing w:after="100"/>
      </w:pPr>
      <w:r>
        <w:rPr>
          <w:b/>
          <w:bCs/>
          <w:color w:val="1A1F2B"/>
          <w:sz w:val="48"/>
          <w:szCs w:val="48"/>
        </w:rPr>
        <w:t xml:space="preserve">GitOps : ArgoCD &amp; Flux sur GCP</w:t>
      </w:r>
    </w:p>
    <w:p>
      <w:pPr>
        <w:spacing w:after="300"/>
      </w:pPr>
      <w:r>
        <w:rPr>
          <w:i/>
          <w:iCs/>
          <w:color w:val="4A5160"/>
          <w:sz w:val="26"/>
          <w:szCs w:val="26"/>
        </w:rPr>
        <w:t xml:space="preserve">Git comme source de vérité, le cluster qui se réconcilie tout seul</w:t>
      </w:r>
    </w:p>
    <w:p>
      <w:pPr>
        <w:spacing w:after="80"/>
      </w:pPr>
      <w:r>
        <w:rPr>
          <w:b/>
          <w:bCs/>
          <w:color w:val="1A1F2B"/>
          <w:sz w:val="22"/>
          <w:szCs w:val="22"/>
        </w:rPr>
        <w:t xml:space="preserve">Niveau : </w:t>
      </w:r>
      <w:r>
        <w:rPr>
          <w:b/>
          <w:bCs/>
          <w:color w:val="0E7C7B"/>
          <w:sz w:val="22"/>
          <w:szCs w:val="22"/>
        </w:rPr>
        <w:t xml:space="preserve">Avancé</w:t>
      </w:r>
    </w:p>
    <w:p>
      <w:pPr>
        <w:spacing w:after="300"/>
      </w:pPr>
      <w:r>
        <w:rPr>
          <w:b/>
          <w:bCs/>
          <w:color w:val="1A1F2B"/>
          <w:sz w:val="22"/>
          <w:szCs w:val="22"/>
        </w:rPr>
        <w:t xml:space="preserve">Stack : </w:t>
      </w:r>
      <w:r>
        <w:rPr>
          <w:color w:val="4A5160"/>
          <w:sz w:val="22"/>
          <w:szCs w:val="22"/>
        </w:rPr>
        <w:t xml:space="preserve">GitOps · ArgoCD · Flux · GKE · App-of-Apps · Réconciliation</w:t>
      </w:r>
    </w:p>
    <w:p>
      <w:pPr>
        <w:spacing w:after="60"/>
      </w:pPr>
      <w:r>
        <w:rPr>
          <w:sz w:val="32"/>
          <w:szCs w:val="32"/>
        </w:rPr>
        <w:t xml:space="preserve"> </w:t>
      </w:r>
    </w:p>
    <w:p>
      <w:r>
        <w:rPr>
          <w:i/>
          <w:iCs/>
          <w:color w:val="7A828F"/>
          <w:sz w:val="18"/>
          <w:szCs w:val="18"/>
        </w:rPr>
        <w:t xml:space="preserve">Parcours complet « de zéro à expert » — GitLab · Kustomize · SonarQube · Vault · Artifactory · ArgoCD · Flux · GCP · Feature Flags</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Le principe GitOps</w:t>
      </w:r>
    </w:p>
    <w:tbl>
      <w:tblPr>
        <w:tblW w:type="dxa" w:w="9026"/>
        <w:tblBorders>
          <w:top w:val="none" w:color="FFFFFF" w:sz="0"/>
          <w:left w:val="single" w:color="1F3A93" w:sz="24"/>
          <w:bottom w:val="none" w:color="FFFFFF" w:sz="0"/>
          <w:right w:val="none" w:color="FFFFFF" w:sz="0"/>
          <w:insideH w:val="none"/>
          <w:insideV w:val="none"/>
        </w:tblBorders>
      </w:tblPr>
      <w:tblGrid>
        <w:gridCol w:w="9026"/>
      </w:tblGrid>
      <w:tr>
        <w:tc>
          <w:tcPr>
            <w:tcW w:type="dxa" w:w="9026"/>
            <w:tcBorders>
              <w:top w:val="none" w:color="FFFFFF" w:sz="0"/>
              <w:left w:val="single" w:color="1F3A93" w:sz="24"/>
              <w:bottom w:val="none" w:color="FFFFFF" w:sz="0"/>
              <w:right w:val="none" w:color="FFFFFF" w:sz="0"/>
            </w:tcBorders>
            <w:shd w:fill="E8F0FB" w:val="clear"/>
            <w:tcMar>
              <w:top w:type="dxa" w:w="120"/>
              <w:left w:type="dxa" w:w="200"/>
              <w:bottom w:type="dxa" w:w="120"/>
              <w:right w:type="dxa" w:w="160"/>
            </w:tcMar>
          </w:tcPr>
          <w:p>
            <w:pPr>
              <w:spacing w:after="60"/>
            </w:pPr>
            <w:r>
              <w:rPr>
                <w:b/>
                <w:bCs/>
                <w:color w:val="1F3A93"/>
                <w:sz w:val="20"/>
                <w:szCs w:val="20"/>
              </w:rPr>
              <w:t xml:space="preserve">ℹ  </w:t>
            </w:r>
            <w:r>
              <w:rPr>
                <w:b/>
                <w:bCs/>
                <w:color w:val="1F3A93"/>
                <w:sz w:val="18"/>
                <w:szCs w:val="18"/>
              </w:rPr>
              <w:t xml:space="preserve">OBJECTIFS PÉDAGOGIQUES DE CE MODULE</w:t>
            </w:r>
          </w:p>
          <w:p>
            <w:pPr>
              <w:spacing w:after="60" w:line="264"/>
            </w:pPr>
            <w:r>
              <w:t xml:space="preserve">Comprendre GitOps et la différence fondamentale push vs pull.</w:t>
            </w:r>
          </w:p>
          <w:p>
            <w:pPr>
              <w:spacing w:after="60" w:line="264"/>
            </w:pPr>
            <w:r>
              <w:t xml:space="preserve">Déployer avec ArgoCD : Application, App-of-Apps, sync waves, self-heal.</w:t>
            </w:r>
          </w:p>
          <w:p>
            <w:pPr>
              <w:spacing w:after="60" w:line="264"/>
            </w:pPr>
            <w:r>
              <w:t xml:space="preserve">Déployer avec Flux : sources, Kustomization, automatisation d’images.</w:t>
            </w:r>
          </w:p>
          <w:p>
            <w:pPr>
              <w:spacing w:after="0" w:line="264"/>
            </w:pPr>
            <w:r>
              <w:t xml:space="preserve">Opérer sur GKE/GCP et choisir entre ArgoCD et Flux.</w:t>
            </w:r>
          </w:p>
        </w:tc>
      </w:tr>
    </w:tbl>
    <w:p>
      <w:pPr>
        <w:spacing w:after="160" w:line="288"/>
      </w:pPr>
      <w:r>
        <w:rPr>
          <w:i/>
          <w:iCs/>
          <w:color w:val="4A5160"/>
          <w:sz w:val="22"/>
          <w:szCs w:val="22"/>
        </w:rPr>
        <w:t xml:space="preserve">GitOps applique le modèle déclaratif de Kubernetes à l’ensemble du système : l’état désiré vit dans Git, et un agent dans le cluster fait converger le réel vers ce que dit Git, en continu.</w:t>
      </w:r>
    </w:p>
    <w:p>
      <w:pPr>
        <w:pStyle w:val="Heading2"/>
      </w:pPr>
      <w:r>
        <w:t xml:space="preserve">1.1 Les quatre principes</w:t>
      </w:r>
    </w:p>
    <w:p>
      <w:pPr>
        <w:pStyle w:val="ListParagraph"/>
        <w:numPr>
          <w:ilvl w:val="0"/>
          <w:numId w:val="2"/>
        </w:numPr>
        <w:spacing w:after="60" w:line="264"/>
      </w:pPr>
      <w:r>
        <w:rPr>
          <w:b/>
          <w:bCs/>
        </w:rPr>
        <w:t xml:space="preserve">Déclaratif</w:t>
      </w:r>
      <w:r>
        <w:t xml:space="preserve"> : tout l’état désiré (apps, config, infra) est décrit de façon déclarative.</w:t>
      </w:r>
    </w:p>
    <w:p>
      <w:pPr>
        <w:pStyle w:val="ListParagraph"/>
        <w:numPr>
          <w:ilvl w:val="0"/>
          <w:numId w:val="2"/>
        </w:numPr>
        <w:spacing w:after="60" w:line="264"/>
      </w:pPr>
      <w:r>
        <w:rPr>
          <w:b/>
          <w:bCs/>
        </w:rPr>
        <w:t xml:space="preserve">Versionné et immuable</w:t>
      </w:r>
      <w:r>
        <w:t xml:space="preserve"> : cet état vit dans Git, source de vérité unique, avec tout l’historique.</w:t>
      </w:r>
    </w:p>
    <w:p>
      <w:pPr>
        <w:pStyle w:val="ListParagraph"/>
        <w:numPr>
          <w:ilvl w:val="0"/>
          <w:numId w:val="2"/>
        </w:numPr>
        <w:spacing w:after="60" w:line="264"/>
      </w:pPr>
      <w:r>
        <w:rPr>
          <w:b/>
          <w:bCs/>
        </w:rPr>
        <w:t xml:space="preserve">Tiré automatiquement</w:t>
      </w:r>
      <w:r>
        <w:t xml:space="preserve"> : des agents appliquent automatiquement l’état depuis Git.</w:t>
      </w:r>
    </w:p>
    <w:p>
      <w:pPr>
        <w:pStyle w:val="ListParagraph"/>
        <w:numPr>
          <w:ilvl w:val="0"/>
          <w:numId w:val="2"/>
        </w:numPr>
        <w:spacing w:after="60" w:line="264"/>
      </w:pPr>
      <w:r>
        <w:rPr>
          <w:b/>
          <w:bCs/>
        </w:rPr>
        <w:t xml:space="preserve">Réconcilié en continu</w:t>
      </w:r>
      <w:r>
        <w:t xml:space="preserve"> : les agents détectent et corrigent en permanence toute dérive (</w:t>
      </w:r>
      <w:r>
        <w:rPr>
          <w:i/>
          <w:iCs/>
        </w:rPr>
        <w:t xml:space="preserve">drift</w:t>
      </w:r>
      <w:r>
        <w:t xml:space="preserve">).</w:t>
      </w:r>
    </w:p>
    <w:p>
      <w:pPr>
        <w:pStyle w:val="Heading2"/>
      </w:pPr>
      <w:r>
        <w:t xml:space="preserve">1.2 Push vs Pull : la bascule mentale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
            </w:r>
          </w:p>
        </w:tc>
        <w:tc>
          <w:tcPr>
            <w:tcW w:type="dxa" w:w="3563"/>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Déploiement « push » (CI classique)</w:t>
            </w:r>
          </w:p>
        </w:tc>
        <w:tc>
          <w:tcPr>
            <w:tcW w:type="dxa" w:w="3563"/>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GitOps « pull »</w:t>
            </w:r>
          </w:p>
        </w:tc>
      </w:tr>
      <w:tr>
        <w:tc>
          <w:tcPr>
            <w:tcW w:type="dxa" w:w="19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Qui agit</w:t>
            </w:r>
          </w:p>
        </w:tc>
        <w:tc>
          <w:tcPr>
            <w:tcW w:type="dxa" w:w="356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La CI pousse vers le cluster</w:t>
            </w:r>
          </w:p>
        </w:tc>
        <w:tc>
          <w:tcPr>
            <w:tcW w:type="dxa" w:w="356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Un agent dans le cluster tire depuis Git</w:t>
            </w:r>
          </w:p>
        </w:tc>
      </w:tr>
      <w:tr>
        <w:tc>
          <w:tcPr>
            <w:tcW w:type="dxa" w:w="19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Accès cluster</w:t>
            </w:r>
          </w:p>
        </w:tc>
        <w:tc>
          <w:tcPr>
            <w:tcW w:type="dxa" w:w="356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La CI a les droits sur le cluster</w:t>
            </w:r>
          </w:p>
        </w:tc>
        <w:tc>
          <w:tcPr>
            <w:tcW w:type="dxa" w:w="356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La CI n’a aucun accès au cluster</w:t>
            </w:r>
          </w:p>
        </w:tc>
      </w:tr>
      <w:tr>
        <w:tc>
          <w:tcPr>
            <w:tcW w:type="dxa" w:w="19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Source de vérité</w:t>
            </w:r>
          </w:p>
        </w:tc>
        <w:tc>
          <w:tcPr>
            <w:tcW w:type="dxa" w:w="356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L’état du dernier </w:t>
            </w:r>
            <w:r>
              <w:rPr>
                <w:rFonts w:ascii="Consolas" w:cs="Consolas" w:eastAsia="Consolas" w:hAnsi="Consolas"/>
                <w:color w:val="0E7C7B"/>
                <w:sz w:val="19"/>
                <w:szCs w:val="19"/>
                <w:shd w:fill="F4F6F8" w:val="clear"/>
              </w:rPr>
              <w:t xml:space="preserve">kubectl apply</w:t>
            </w:r>
          </w:p>
        </w:tc>
        <w:tc>
          <w:tcPr>
            <w:tcW w:type="dxa" w:w="356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Git, en permanence</w:t>
            </w:r>
          </w:p>
        </w:tc>
      </w:tr>
      <w:tr>
        <w:tc>
          <w:tcPr>
            <w:tcW w:type="dxa" w:w="19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Dérive</w:t>
            </w:r>
          </w:p>
        </w:tc>
        <w:tc>
          <w:tcPr>
            <w:tcW w:type="dxa" w:w="356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Non détectée</w:t>
            </w:r>
          </w:p>
        </w:tc>
        <w:tc>
          <w:tcPr>
            <w:tcW w:type="dxa" w:w="356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Détectée et corrigée</w:t>
            </w:r>
          </w:p>
        </w:tc>
      </w:tr>
      <w:tr>
        <w:tc>
          <w:tcPr>
            <w:tcW w:type="dxa" w:w="19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Surface d’attaque</w:t>
            </w:r>
          </w:p>
        </w:tc>
        <w:tc>
          <w:tcPr>
            <w:tcW w:type="dxa" w:w="356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Identifiants cluster dans la CI</w:t>
            </w:r>
          </w:p>
        </w:tc>
        <w:tc>
          <w:tcPr>
            <w:tcW w:type="dxa" w:w="356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Aucun identifiant cluster externe</w:t>
            </w:r>
          </w:p>
        </w:tc>
      </w:tr>
    </w:tbl>
    <w:tbl>
      <w:tblPr>
        <w:tblW w:type="dxa" w:w="9026"/>
        <w:tblBorders>
          <w:top w:val="none" w:color="FFFFFF" w:sz="0"/>
          <w:left w:val="single" w:color="1F3A93" w:sz="24"/>
          <w:bottom w:val="none" w:color="FFFFFF" w:sz="0"/>
          <w:right w:val="none" w:color="FFFFFF" w:sz="0"/>
          <w:insideH w:val="none"/>
          <w:insideV w:val="none"/>
        </w:tblBorders>
      </w:tblPr>
      <w:tblGrid>
        <w:gridCol w:w="9026"/>
      </w:tblGrid>
      <w:tr>
        <w:tc>
          <w:tcPr>
            <w:tcW w:type="dxa" w:w="9026"/>
            <w:tcBorders>
              <w:top w:val="none" w:color="FFFFFF" w:sz="0"/>
              <w:left w:val="single" w:color="1F3A93" w:sz="24"/>
              <w:bottom w:val="none" w:color="FFFFFF" w:sz="0"/>
              <w:right w:val="none" w:color="FFFFFF" w:sz="0"/>
            </w:tcBorders>
            <w:shd w:fill="E8F0FB" w:val="clear"/>
            <w:tcMar>
              <w:top w:type="dxa" w:w="120"/>
              <w:left w:type="dxa" w:w="200"/>
              <w:bottom w:type="dxa" w:w="120"/>
              <w:right w:type="dxa" w:w="160"/>
            </w:tcMar>
          </w:tcPr>
          <w:p>
            <w:pPr>
              <w:spacing w:after="60"/>
            </w:pPr>
            <w:r>
              <w:rPr>
                <w:b/>
                <w:bCs/>
                <w:color w:val="1F3A93"/>
                <w:sz w:val="20"/>
                <w:szCs w:val="20"/>
              </w:rPr>
              <w:t xml:space="preserve">ℹ  </w:t>
            </w:r>
            <w:r>
              <w:rPr>
                <w:b/>
                <w:bCs/>
                <w:color w:val="1F3A93"/>
                <w:sz w:val="18"/>
                <w:szCs w:val="18"/>
              </w:rPr>
              <w:t xml:space="preserve">LE DÉCLIC SÉCURITÉ</w:t>
            </w:r>
          </w:p>
          <w:p>
            <w:pPr>
              <w:spacing w:after="0" w:line="264"/>
            </w:pPr>
            <w:r>
              <w:t xml:space="preserve">En GitOps, ta CI ne déploie plus : elle se contente d’</w:t>
            </w:r>
            <w:r>
              <w:rPr>
                <w:b/>
                <w:bCs/>
              </w:rPr>
              <w:t xml:space="preserve">écrire un commit</w:t>
            </w:r>
            <w:r>
              <w:t xml:space="preserve"> dans un repo de configuration (le digest mis à jour par Kustomize au module 05). </w:t>
            </w:r>
            <w:r>
              <w:rPr>
                <w:b/>
                <w:bCs/>
              </w:rPr>
              <w:t xml:space="preserve">Aucun système externe n’a de credentials sur le cluster</w:t>
            </w:r>
            <w:r>
              <w:t xml:space="preserve"> : c’est l’agent interne qui tire. La surface d’attaque diminue drastiquement.</w:t>
            </w:r>
          </w:p>
        </w:tc>
      </w:tr>
    </w:tbl>
    <w:p>
      <w:pPr>
        <w:pStyle w:val="Heading2"/>
      </w:pPr>
      <w:r>
        <w:t xml:space="preserve">1.3 Les deux repos</w:t>
      </w:r>
    </w:p>
    <w:p>
      <w:pPr>
        <w:spacing w:after="120" w:line="276"/>
      </w:pPr>
      <w:r>
        <w:t xml:space="preserve">On sépare presque toujours deux dépôts : le </w:t>
      </w:r>
      <w:r>
        <w:rPr>
          <w:b/>
          <w:bCs/>
        </w:rPr>
        <w:t xml:space="preserve">repo applicatif</w:t>
      </w:r>
      <w:r>
        <w:t xml:space="preserve"> (code source) et le </w:t>
      </w:r>
      <w:r>
        <w:rPr>
          <w:b/>
          <w:bCs/>
        </w:rPr>
        <w:t xml:space="preserve">repo de configuration</w:t>
      </w:r>
      <w:r>
        <w:t xml:space="preserve"> (manifestes Kustomize, l’état désiré). Le flux complet devient :</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FLUX</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Repo applicatif                Repo de configuration         Cluster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push code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CI: build + test + image  ──►  commit: set image @digest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(module 02-04)                  (kustomize edit)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GitOps agent  ◄── tire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(ArgoCD/Flux)  ── applique ──►  K8s réconcilié</w:t>
            </w:r>
          </w:p>
        </w:tc>
      </w:tr>
    </w:tbl>
    <w:p>
      <w:r>
        <w:br w:type="page"/>
      </w:r>
    </w:p>
    <w:p>
      <w:pPr>
        <w:pStyle w:val="Heading1"/>
      </w:pPr>
      <w:r>
        <w:t xml:space="preserve">2. ArgoCD</w:t>
      </w:r>
    </w:p>
    <w:p>
      <w:pPr>
        <w:spacing w:after="160" w:line="288"/>
      </w:pPr>
      <w:r>
        <w:rPr>
          <w:i/>
          <w:iCs/>
          <w:color w:val="4A5160"/>
          <w:sz w:val="22"/>
          <w:szCs w:val="22"/>
        </w:rPr>
        <w:t xml:space="preserve">ArgoCD est un opérateur GitOps avec une forte dimension visuelle : une UI qui montre l’arbre des ressources, leur état de synchronisation et de santé. Il pense en termes d’**Application**.</w:t>
      </w:r>
    </w:p>
    <w:p>
      <w:pPr>
        <w:pStyle w:val="Heading2"/>
      </w:pPr>
      <w:r>
        <w:t xml:space="preserve">2.1 L’objet Application</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apiVersion: argoproj.io/v1alpha1</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kind: Application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metadata:</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name: payments-prod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namespace: argocd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spec:</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project: default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source: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repoURL: https://gitlab.example.com/plateforme/config.git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targetRevision: main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path: overlays/prod            # ← l'overlay Kustomize du module 05</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destination: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server: https://kubernetes.default.svc</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namespace: payments-prod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syncPolicy: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automated: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prune: true                  # supprime ce qui a disparu de Git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selfHeal: true               # corrige toute dérive manuelle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syncOptions: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 CreateNamespace=true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Champ</w:t>
            </w:r>
          </w:p>
        </w:tc>
        <w:tc>
          <w:tcPr>
            <w:tcW w:type="dxa" w:w="64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Effet</w:t>
            </w:r>
          </w:p>
        </w:tc>
      </w:tr>
      <w:tr>
        <w:tc>
          <w:tcPr>
            <w:tcW w:type="dxa" w:w="26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source.path</w:t>
            </w:r>
          </w:p>
        </w:tc>
        <w:tc>
          <w:tcPr>
            <w:tcW w:type="dxa" w:w="6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Le dossier Kustomize/Helm à synchroniser</w:t>
            </w:r>
          </w:p>
        </w:tc>
      </w:tr>
      <w:tr>
        <w:tc>
          <w:tcPr>
            <w:tcW w:type="dxa" w:w="26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targetRevision</w:t>
            </w:r>
          </w:p>
        </w:tc>
        <w:tc>
          <w:tcPr>
            <w:tcW w:type="dxa" w:w="6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Branche, tag ou digest Git à suivre</w:t>
            </w:r>
          </w:p>
        </w:tc>
      </w:tr>
      <w:tr>
        <w:tc>
          <w:tcPr>
            <w:tcW w:type="dxa" w:w="26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prune: true</w:t>
            </w:r>
          </w:p>
        </w:tc>
        <w:tc>
          <w:tcPr>
            <w:tcW w:type="dxa" w:w="6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Supprime les ressources retirées de Git</w:t>
            </w:r>
          </w:p>
        </w:tc>
      </w:tr>
      <w:tr>
        <w:tc>
          <w:tcPr>
            <w:tcW w:type="dxa" w:w="26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selfHeal: true</w:t>
            </w:r>
          </w:p>
        </w:tc>
        <w:tc>
          <w:tcPr>
            <w:tcW w:type="dxa" w:w="6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Annule toute modification faite à la main dans le cluster</w:t>
            </w:r>
          </w:p>
        </w:tc>
      </w:tr>
    </w:tbl>
    <w:tbl>
      <w:tblPr>
        <w:tblW w:type="dxa" w:w="9026"/>
        <w:tblBorders>
          <w:top w:val="none" w:color="FFFFFF" w:sz="0"/>
          <w:left w:val="single" w:color="C26A12" w:sz="24"/>
          <w:bottom w:val="none" w:color="FFFFFF" w:sz="0"/>
          <w:right w:val="none" w:color="FFFFFF" w:sz="0"/>
          <w:insideH w:val="none"/>
          <w:insideV w:val="none"/>
        </w:tblBorders>
      </w:tblPr>
      <w:tblGrid>
        <w:gridCol w:w="9026"/>
      </w:tblGrid>
      <w:tr>
        <w:tc>
          <w:tcPr>
            <w:tcW w:type="dxa" w:w="9026"/>
            <w:tcBorders>
              <w:top w:val="none" w:color="FFFFFF" w:sz="0"/>
              <w:left w:val="single" w:color="C26A12" w:sz="24"/>
              <w:bottom w:val="none" w:color="FFFFFF" w:sz="0"/>
              <w:right w:val="none" w:color="FFFFFF" w:sz="0"/>
            </w:tcBorders>
            <w:shd w:fill="FDF1E3" w:val="clear"/>
            <w:tcMar>
              <w:top w:type="dxa" w:w="120"/>
              <w:left w:type="dxa" w:w="200"/>
              <w:bottom w:type="dxa" w:w="120"/>
              <w:right w:type="dxa" w:w="160"/>
            </w:tcMar>
          </w:tcPr>
          <w:p>
            <w:pPr>
              <w:spacing w:after="60"/>
            </w:pPr>
            <w:r>
              <w:rPr>
                <w:b/>
                <w:bCs/>
                <w:color w:val="C26A12"/>
                <w:sz w:val="20"/>
                <w:szCs w:val="20"/>
              </w:rPr>
              <w:t xml:space="preserve">⚠  </w:t>
            </w:r>
            <w:r>
              <w:rPr>
                <w:b/>
                <w:bCs/>
                <w:color w:val="C26A12"/>
                <w:sz w:val="18"/>
                <w:szCs w:val="18"/>
              </w:rPr>
              <w:t xml:space="preserve">SELF-HEAL : PUISSANT ET IMPITOYABLE</w:t>
            </w:r>
          </w:p>
          <w:p>
            <w:pPr>
              <w:spacing w:after="0" w:line="264"/>
            </w:pPr>
            <w:r>
              <w:t xml:space="preserve">Avec </w:t>
            </w:r>
            <w:r>
              <w:rPr>
                <w:rFonts w:ascii="Consolas" w:cs="Consolas" w:eastAsia="Consolas" w:hAnsi="Consolas"/>
                <w:color w:val="0E7C7B"/>
                <w:sz w:val="19"/>
                <w:szCs w:val="19"/>
                <w:shd w:fill="F4F6F8" w:val="clear"/>
              </w:rPr>
              <w:t xml:space="preserve">selfHeal: true</w:t>
            </w:r>
            <w:r>
              <w:t xml:space="preserve">, tout </w:t>
            </w:r>
            <w:r>
              <w:rPr>
                <w:rFonts w:ascii="Consolas" w:cs="Consolas" w:eastAsia="Consolas" w:hAnsi="Consolas"/>
                <w:color w:val="0E7C7B"/>
                <w:sz w:val="19"/>
                <w:szCs w:val="19"/>
                <w:shd w:fill="F4F6F8" w:val="clear"/>
              </w:rPr>
              <w:t xml:space="preserve">kubectl edit</w:t>
            </w:r>
            <w:r>
              <w:t xml:space="preserve"> manuel en production est </w:t>
            </w:r>
            <w:r>
              <w:rPr>
                <w:b/>
                <w:bCs/>
              </w:rPr>
              <w:t xml:space="preserve">annulé</w:t>
            </w:r>
            <w:r>
              <w:t xml:space="preserve"> sous quelques secondes : Git gagne toujours. C’est le but (fin du </w:t>
            </w:r>
            <w:r>
              <w:rPr>
                <w:i/>
                <w:iCs/>
              </w:rPr>
              <w:t xml:space="preserve">drift</w:t>
            </w:r>
            <w:r>
              <w:t xml:space="preserve">), mais cela impose une discipline absolue : </w:t>
            </w:r>
            <w:r>
              <w:rPr>
                <w:b/>
                <w:bCs/>
              </w:rPr>
              <w:t xml:space="preserve">on ne corrige plus jamais à la main</w:t>
            </w:r>
            <w:r>
              <w:t xml:space="preserve">, on commit.</w:t>
            </w:r>
          </w:p>
        </w:tc>
      </w:tr>
    </w:tbl>
    <w:p>
      <w:pPr>
        <w:pStyle w:val="Heading2"/>
      </w:pPr>
      <w:r>
        <w:t xml:space="preserve">2.2 App-of-Apps</w:t>
      </w:r>
    </w:p>
    <w:p>
      <w:pPr>
        <w:spacing w:after="120" w:line="276"/>
      </w:pPr>
      <w:r>
        <w:t xml:space="preserve">Pour gérer des dizaines d’applications, on utilise le pattern </w:t>
      </w:r>
      <w:r>
        <w:rPr>
          <w:b/>
          <w:bCs/>
        </w:rPr>
        <w:t xml:space="preserve">App-of-Apps</w:t>
      </w:r>
      <w:r>
        <w:t xml:space="preserve"> : une Application « racine » dont le contenu Git est… une liste d’autres Applications. On amorce tout un cluster avec un seul </w:t>
      </w:r>
      <w:r>
        <w:rPr>
          <w:rFonts w:ascii="Consolas" w:cs="Consolas" w:eastAsia="Consolas" w:hAnsi="Consolas"/>
          <w:color w:val="0E7C7B"/>
          <w:sz w:val="19"/>
          <w:szCs w:val="19"/>
          <w:shd w:fill="F4F6F8" w:val="clear"/>
        </w:rPr>
        <w:t xml:space="preserve">kubectl apply</w:t>
      </w:r>
      <w:r>
        <w:t xml:space="preserve">.</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 root-app pointe vers un dossier qui contient N Application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apiVersion: argoproj.io/v1alpha1</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kind: Application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metadata: { name: root, namespace: argocd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spec:</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source: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repoURL: https://gitlab.example.com/plateforme/config.git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path: apps/                    # contient payments.yaml, billing.yaml,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targetRevision: main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destination: { server: https://kubernetes.default.svc, namespace: argocd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syncPolicy: { automated: { prune: true, selfHeal: true } }</w:t>
            </w:r>
          </w:p>
        </w:tc>
      </w:tr>
    </w:tbl>
    <w:p>
      <w:pPr>
        <w:spacing w:after="120" w:line="276"/>
      </w:pPr>
      <w:r>
        <w:t xml:space="preserve">Une variante plus dynamique, l’</w:t>
      </w:r>
      <w:r>
        <w:rPr>
          <w:b/>
          <w:bCs/>
        </w:rPr>
        <w:t xml:space="preserve">ApplicationSet</w:t>
      </w:r>
      <w:r>
        <w:t xml:space="preserve">, génère ces Applications à partir d’un générateur (liste de clusters, dossiers Git, etc.) — idéal pour déployer la même app sur plusieurs clusters ou régions.</w:t>
      </w:r>
    </w:p>
    <w:p>
      <w:pPr>
        <w:pStyle w:val="Heading2"/>
      </w:pPr>
      <w:r>
        <w:t xml:space="preserve">2.3 Sync waves et hooks</w:t>
      </w:r>
    </w:p>
    <w:p>
      <w:pPr>
        <w:spacing w:after="120" w:line="276"/>
      </w:pPr>
      <w:r>
        <w:t xml:space="preserve">L’ordre de déploiement compte (ex : la base de données avant l’app). Les </w:t>
      </w:r>
      <w:r>
        <w:rPr>
          <w:b/>
          <w:bCs/>
        </w:rPr>
        <w:t xml:space="preserve">sync waves</w:t>
      </w:r>
      <w:r>
        <w:t xml:space="preserve"> ordonnent les ressources via une annotation ; les </w:t>
      </w:r>
      <w:r>
        <w:rPr>
          <w:b/>
          <w:bCs/>
        </w:rPr>
        <w:t xml:space="preserve">hooks</w:t>
      </w:r>
      <w:r>
        <w:t xml:space="preserve"> exécutent des jobs avant/après synchronisation (migrations).</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metadata:</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annotations: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argocd.argoproj.io/sync-wave: "1"     # déployé après la wave 0</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Hook de migration de base avant la synchro</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argocd.argoproj.io/hook: PreSync</w:t>
            </w:r>
          </w:p>
        </w:tc>
      </w:tr>
    </w:tbl>
    <w:p>
      <w:r>
        <w:br w:type="page"/>
      </w:r>
    </w:p>
    <w:p>
      <w:pPr>
        <w:pStyle w:val="Heading1"/>
      </w:pPr>
      <w:r>
        <w:t xml:space="preserve">3. Flux</w:t>
      </w:r>
    </w:p>
    <w:p>
      <w:pPr>
        <w:spacing w:after="160" w:line="288"/>
      </w:pPr>
      <w:r>
        <w:rPr>
          <w:i/>
          <w:iCs/>
          <w:color w:val="4A5160"/>
          <w:sz w:val="22"/>
          <w:szCs w:val="22"/>
        </w:rPr>
        <w:t xml:space="preserve">Flux (Flux CD v2) est l’autre opérateur GitOps de référence, projet CNCF gradué. Plus modulaire qu’ArgoCD, composé de contrôleurs spécialisés, et piloté entièrement par des ressources Kubernetes (pas d’UI propre par défaut).</w:t>
      </w:r>
    </w:p>
    <w:p>
      <w:pPr>
        <w:pStyle w:val="Heading2"/>
      </w:pPr>
      <w:r>
        <w:t xml:space="preserve">3.1 Architecture en contrôleurs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Contrôleur</w:t>
            </w:r>
          </w:p>
        </w:tc>
        <w:tc>
          <w:tcPr>
            <w:tcW w:type="dxa" w:w="60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Responsabilité</w:t>
            </w:r>
          </w:p>
        </w:tc>
      </w:tr>
      <w:tr>
        <w:tc>
          <w:tcPr>
            <w:tcW w:type="dxa" w:w="3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source-controller</w:t>
            </w:r>
          </w:p>
        </w:tc>
        <w:tc>
          <w:tcPr>
            <w:tcW w:type="dxa" w:w="60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Récupère les sources : dépôts Git, charts Helm, buckets, OCI</w:t>
            </w:r>
          </w:p>
        </w:tc>
      </w:tr>
      <w:tr>
        <w:tc>
          <w:tcPr>
            <w:tcW w:type="dxa" w:w="3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kustomize-controller</w:t>
            </w:r>
          </w:p>
        </w:tc>
        <w:tc>
          <w:tcPr>
            <w:tcW w:type="dxa" w:w="60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Applique et réconcilie les Kustomizations</w:t>
            </w:r>
          </w:p>
        </w:tc>
      </w:tr>
      <w:tr>
        <w:tc>
          <w:tcPr>
            <w:tcW w:type="dxa" w:w="3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helm-controller</w:t>
            </w:r>
          </w:p>
        </w:tc>
        <w:tc>
          <w:tcPr>
            <w:tcW w:type="dxa" w:w="60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Gère les releases Helm</w:t>
            </w:r>
          </w:p>
        </w:tc>
      </w:tr>
      <w:tr>
        <w:tc>
          <w:tcPr>
            <w:tcW w:type="dxa" w:w="3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notification-controller</w:t>
            </w:r>
          </w:p>
        </w:tc>
        <w:tc>
          <w:tcPr>
            <w:tcW w:type="dxa" w:w="60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Événements entrants (webhooks) et sortants (alertes)</w:t>
            </w:r>
          </w:p>
        </w:tc>
      </w:tr>
      <w:tr>
        <w:tc>
          <w:tcPr>
            <w:tcW w:type="dxa" w:w="3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image-* controllers</w:t>
            </w:r>
          </w:p>
        </w:tc>
        <w:tc>
          <w:tcPr>
            <w:tcW w:type="dxa" w:w="60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Détecte de nouvelles images et met à jour Git automatiquement</w:t>
            </w:r>
          </w:p>
        </w:tc>
      </w:tr>
    </w:tbl>
    <w:p>
      <w:pPr>
        <w:pStyle w:val="Heading2"/>
      </w:pPr>
      <w:r>
        <w:t xml:space="preserve">3.2 Source + Kustomization</w:t>
      </w:r>
    </w:p>
    <w:p>
      <w:pPr>
        <w:spacing w:after="120" w:line="276"/>
      </w:pPr>
      <w:r>
        <w:t xml:space="preserve">On déclare d’abord </w:t>
      </w:r>
      <w:r>
        <w:rPr>
          <w:b/>
          <w:bCs/>
        </w:rPr>
        <w:t xml:space="preserve">où</w:t>
      </w:r>
      <w:r>
        <w:t xml:space="preserve"> est la source (un </w:t>
      </w:r>
      <w:r>
        <w:rPr>
          <w:rFonts w:ascii="Consolas" w:cs="Consolas" w:eastAsia="Consolas" w:hAnsi="Consolas"/>
          <w:color w:val="0E7C7B"/>
          <w:sz w:val="19"/>
          <w:szCs w:val="19"/>
          <w:shd w:fill="F4F6F8" w:val="clear"/>
        </w:rPr>
        <w:t xml:space="preserve">GitRepository</w:t>
      </w:r>
      <w:r>
        <w:t xml:space="preserve">), puis </w:t>
      </w:r>
      <w:r>
        <w:rPr>
          <w:b/>
          <w:bCs/>
        </w:rPr>
        <w:t xml:space="preserve">quoi</w:t>
      </w:r>
      <w:r>
        <w:t xml:space="preserve"> appliquer (une </w:t>
      </w:r>
      <w:r>
        <w:rPr>
          <w:rFonts w:ascii="Consolas" w:cs="Consolas" w:eastAsia="Consolas" w:hAnsi="Consolas"/>
          <w:color w:val="0E7C7B"/>
          <w:sz w:val="19"/>
          <w:szCs w:val="19"/>
          <w:shd w:fill="F4F6F8" w:val="clear"/>
        </w:rPr>
        <w:t xml:space="preserve">Kustomization</w:t>
      </w:r>
      <w:r>
        <w:t xml:space="preserve"> qui pointe un chemin de cette source).</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apiVersion: source.toolkit.fluxcd.io/v1</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kind: GitRepository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metadata: { name: config, namespace: flux-system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spec:</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interval: 1m</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url: https://gitlab.example.com/plateforme/config.git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ref: { branch: main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apiVersion: kustomize.toolkit.fluxcd.io/v1</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kind: Kustomization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metadata: { name: payments-prod, namespace: flux-system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spec:</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interval: 5m</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sourceRef: { kind: GitRepository, name: config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path: ./overlays/prod          # ← encore l'overlay Kustomize du module 05</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prune: true                    # équivalent du prune ArgoCD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targetNamespace: payments-prod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wait: true                     # attend que les ressources soient saines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timeout: 3m</w:t>
            </w:r>
          </w:p>
        </w:tc>
      </w:tr>
    </w:tbl>
    <w:p>
      <w:pPr>
        <w:pStyle w:val="Heading2"/>
      </w:pPr>
      <w:r>
        <w:t xml:space="preserve">3.3 Automatisation d’images : la signature de Flux</w:t>
      </w:r>
    </w:p>
    <w:p>
      <w:pPr>
        <w:spacing w:after="120" w:line="276"/>
      </w:pPr>
      <w:r>
        <w:t xml:space="preserve">Flux peut </w:t>
      </w:r>
      <w:r>
        <w:rPr>
          <w:b/>
          <w:bCs/>
        </w:rPr>
        <w:t xml:space="preserve">surveiller le registry</w:t>
      </w:r>
      <w:r>
        <w:t xml:space="preserve">, détecter une nouvelle image conforme à une politique, et </w:t>
      </w:r>
      <w:r>
        <w:rPr>
          <w:b/>
          <w:bCs/>
        </w:rPr>
        <w:t xml:space="preserve">commiter lui-même</w:t>
      </w:r>
      <w:r>
        <w:t xml:space="preserve"> la mise à jour dans Git. La boucle GitOps se referme sans intervention de la CI.</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apiVersion: image.toolkit.fluxcd.io/v1beta2</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kind: ImagePolicy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metadata: { name: payments, namespace: flux-system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spec:</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imageRepositoryRef: { name: payments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policy:</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semver: { range: "&gt;=1.4.0 &lt;2.0.0" }   # ne prend que les versions compatibles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apiVersion: image.toolkit.fluxcd.io/v1beta2</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kind: ImageUpdateAutomation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metadata: { name: payments, namespace: flux-system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spec:</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interval: 2m</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sourceRef: { kind: GitRepository, name: config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git: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commit: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author: { name: fluxbot, email: flux@example.com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messageTemplate: "deploy: payments {{range .Updated.Images}}{{println .}}{{end}}"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update: { path: ./overlays/prod, strategy: Setters }</w:t>
            </w:r>
          </w:p>
        </w:tc>
      </w:tr>
    </w:tbl>
    <w:tbl>
      <w:tblPr>
        <w:tblW w:type="dxa" w:w="9026"/>
        <w:tblBorders>
          <w:top w:val="none" w:color="FFFFFF" w:sz="0"/>
          <w:left w:val="single" w:color="0E7C7B" w:sz="24"/>
          <w:bottom w:val="none" w:color="FFFFFF" w:sz="0"/>
          <w:right w:val="none" w:color="FFFFFF" w:sz="0"/>
          <w:insideH w:val="none"/>
          <w:insideV w:val="none"/>
        </w:tblBorders>
      </w:tblPr>
      <w:tblGrid>
        <w:gridCol w:w="9026"/>
      </w:tblGrid>
      <w:tr>
        <w:tc>
          <w:tcPr>
            <w:tcW w:type="dxa" w:w="9026"/>
            <w:tcBorders>
              <w:top w:val="none" w:color="FFFFFF" w:sz="0"/>
              <w:left w:val="single" w:color="0E7C7B" w:sz="24"/>
              <w:bottom w:val="none" w:color="FFFFFF" w:sz="0"/>
              <w:right w:val="none" w:color="FFFFFF" w:sz="0"/>
            </w:tcBorders>
            <w:shd w:fill="E6F5F4" w:val="clear"/>
            <w:tcMar>
              <w:top w:type="dxa" w:w="120"/>
              <w:left w:type="dxa" w:w="200"/>
              <w:bottom w:type="dxa" w:w="120"/>
              <w:right w:type="dxa" w:w="160"/>
            </w:tcMar>
          </w:tcPr>
          <w:p>
            <w:pPr>
              <w:spacing w:after="60"/>
            </w:pPr>
            <w:r>
              <w:rPr>
                <w:b/>
                <w:bCs/>
                <w:color w:val="0E7C7B"/>
                <w:sz w:val="20"/>
                <w:szCs w:val="20"/>
              </w:rPr>
              <w:t xml:space="preserve">✔  </w:t>
            </w:r>
            <w:r>
              <w:rPr>
                <w:b/>
                <w:bCs/>
                <w:color w:val="0E7C7B"/>
                <w:sz w:val="18"/>
                <w:szCs w:val="18"/>
              </w:rPr>
              <w:t xml:space="preserve">DIFFÉRENCE D’APPROCHE</w:t>
            </w:r>
          </w:p>
          <w:p>
            <w:pPr>
              <w:spacing w:after="0" w:line="264"/>
            </w:pPr>
            <w:r>
              <w:t xml:space="preserve">Avec </w:t>
            </w:r>
            <w:r>
              <w:rPr>
                <w:b/>
                <w:bCs/>
              </w:rPr>
              <w:t xml:space="preserve">ArgoCD</w:t>
            </w:r>
            <w:r>
              <w:t xml:space="preserve">, c’est en général la </w:t>
            </w:r>
            <w:r>
              <w:rPr>
                <w:b/>
                <w:bCs/>
              </w:rPr>
              <w:t xml:space="preserve">CI</w:t>
            </w:r>
            <w:r>
              <w:t xml:space="preserve"> qui commit le nouveau digest (module 04/05). Avec </w:t>
            </w:r>
            <w:r>
              <w:rPr>
                <w:b/>
                <w:bCs/>
              </w:rPr>
              <w:t xml:space="preserve">Flux + image automation</w:t>
            </w:r>
            <w:r>
              <w:t xml:space="preserve">, c’est </w:t>
            </w:r>
            <w:r>
              <w:rPr>
                <w:b/>
                <w:bCs/>
              </w:rPr>
              <w:t xml:space="preserve">Flux</w:t>
            </w:r>
            <w:r>
              <w:t xml:space="preserve"> qui scrute le registry et commit lui-même. Les deux sont valides ; choisis selon qui doit « décider » qu’une nouvelle image part : ton pipeline, ou une politique de version automatique.</w:t>
            </w:r>
          </w:p>
        </w:tc>
      </w:tr>
    </w:tbl>
    <w:p>
      <w:r>
        <w:br w:type="page"/>
      </w:r>
    </w:p>
    <w:p>
      <w:pPr>
        <w:pStyle w:val="Heading1"/>
      </w:pPr>
      <w:r>
        <w:t xml:space="preserve">4. Opérer sur GKE / GCP</w:t>
      </w:r>
    </w:p>
    <w:p>
      <w:pPr>
        <w:pStyle w:val="Heading2"/>
      </w:pPr>
      <w:r>
        <w:t xml:space="preserve">4.1 Le cluster</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BASH</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 Cluster GKE (Autopilot : Google gère les nodes)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gcloud container clusters create-auto prod-cluster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--region=europe-west9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--project=mon-projet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gcloud container clusters get-credentials prod-cluster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--region=europe-west9   # configure kubectl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Service GCP</w:t>
            </w:r>
          </w:p>
        </w:tc>
        <w:tc>
          <w:tcPr>
            <w:tcW w:type="dxa" w:w="63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Rôle dans la chaîne GitOps</w:t>
            </w:r>
          </w:p>
        </w:tc>
      </w:tr>
      <w:tr>
        <w:tc>
          <w:tcPr>
            <w:tcW w:type="dxa" w:w="27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GKE (Autopilot/Standard)</w:t>
            </w:r>
          </w:p>
        </w:tc>
        <w:tc>
          <w:tcPr>
            <w:tcW w:type="dxa" w:w="63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Le cluster Kubernetes qui héberge ArgoCD/Flux et les apps</w:t>
            </w:r>
          </w:p>
        </w:tc>
      </w:tr>
      <w:tr>
        <w:tc>
          <w:tcPr>
            <w:tcW w:type="dxa" w:w="27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Artifact Registry</w:t>
            </w:r>
          </w:p>
        </w:tc>
        <w:tc>
          <w:tcPr>
            <w:tcW w:type="dxa" w:w="63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Registre d’images (alternative GCP à Artifactory pour le cloud)</w:t>
            </w:r>
          </w:p>
        </w:tc>
      </w:tr>
      <w:tr>
        <w:tc>
          <w:tcPr>
            <w:tcW w:type="dxa" w:w="27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Workload Identity</w:t>
            </w:r>
          </w:p>
        </w:tc>
        <w:tc>
          <w:tcPr>
            <w:tcW w:type="dxa" w:w="63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Lie un ServiceAccount K8s à une identité GCP, sans clé de compte</w:t>
            </w:r>
          </w:p>
        </w:tc>
      </w:tr>
      <w:tr>
        <w:tc>
          <w:tcPr>
            <w:tcW w:type="dxa" w:w="27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Secret Manager</w:t>
            </w:r>
          </w:p>
        </w:tc>
        <w:tc>
          <w:tcPr>
            <w:tcW w:type="dxa" w:w="63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Secrets GCP, consommables via External Secrets / CSI</w:t>
            </w:r>
          </w:p>
        </w:tc>
      </w:tr>
      <w:tr>
        <w:tc>
          <w:tcPr>
            <w:tcW w:type="dxa" w:w="27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Cloud DNS / GCLB</w:t>
            </w:r>
          </w:p>
        </w:tc>
        <w:tc>
          <w:tcPr>
            <w:tcW w:type="dxa" w:w="63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Exposition publique (Ingress, certificats managés)</w:t>
            </w:r>
          </w:p>
        </w:tc>
      </w:tr>
    </w:tbl>
    <w:p>
      <w:pPr>
        <w:pStyle w:val="Heading2"/>
      </w:pPr>
      <w:r>
        <w:t xml:space="preserve">4.2 Workload Identity : pas de clé de service</w:t>
      </w:r>
    </w:p>
    <w:p>
      <w:pPr>
        <w:spacing w:after="120" w:line="276"/>
      </w:pPr>
      <w:r>
        <w:t xml:space="preserve">Sur GKE, on </w:t>
      </w:r>
      <w:r>
        <w:rPr>
          <w:b/>
          <w:bCs/>
        </w:rPr>
        <w:t xml:space="preserve">n’injecte jamais</w:t>
      </w:r>
      <w:r>
        <w:t xml:space="preserve"> de clé de compte de service GCP dans un pod. On utilise </w:t>
      </w:r>
      <w:r>
        <w:rPr>
          <w:b/>
          <w:bCs/>
        </w:rPr>
        <w:t xml:space="preserve">Workload Identity</w:t>
      </w:r>
      <w:r>
        <w:t xml:space="preserve"> : un ServiceAccount Kubernetes est associé à un compte de service GCP, et le pod obtient des jetons GCP à courte durée de vie, automatiquement. Même philosophie que l’OIDC Vault du module 03 : pas de secret durable.</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YAML</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 Annoter le ServiceAccount K8s pour l'associer au SA GCP</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apiVersion: v1</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kind: ServiceAccount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metadata:</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name: payments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namespace: payments-prod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annotations: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iam.gke.io/gcp-service-account: payments@mon-projet.iam.gserviceaccount.com</w:t>
            </w:r>
          </w:p>
        </w:tc>
      </w:tr>
    </w:tbl>
    <w:tbl>
      <w:tblPr>
        <w:tblW w:type="dxa" w:w="9026"/>
        <w:tblBorders>
          <w:top w:val="none" w:color="FFFFFF" w:sz="0"/>
          <w:left w:val="single" w:color="B3261E" w:sz="24"/>
          <w:bottom w:val="none" w:color="FFFFFF" w:sz="0"/>
          <w:right w:val="none" w:color="FFFFFF" w:sz="0"/>
          <w:insideH w:val="none"/>
          <w:insideV w:val="none"/>
        </w:tblBorders>
      </w:tblPr>
      <w:tblGrid>
        <w:gridCol w:w="9026"/>
      </w:tblGrid>
      <w:tr>
        <w:tc>
          <w:tcPr>
            <w:tcW w:type="dxa" w:w="9026"/>
            <w:tcBorders>
              <w:top w:val="none" w:color="FFFFFF" w:sz="0"/>
              <w:left w:val="single" w:color="B3261E" w:sz="24"/>
              <w:bottom w:val="none" w:color="FFFFFF" w:sz="0"/>
              <w:right w:val="none" w:color="FFFFFF" w:sz="0"/>
            </w:tcBorders>
            <w:shd w:fill="FBE9E9" w:val="clear"/>
            <w:tcMar>
              <w:top w:type="dxa" w:w="120"/>
              <w:left w:type="dxa" w:w="200"/>
              <w:bottom w:type="dxa" w:w="120"/>
              <w:right w:type="dxa" w:w="160"/>
            </w:tcMar>
          </w:tcPr>
          <w:p>
            <w:pPr>
              <w:spacing w:after="60"/>
            </w:pPr>
            <w:r>
              <w:rPr>
                <w:b/>
                <w:bCs/>
                <w:color w:val="B3261E"/>
                <w:sz w:val="20"/>
                <w:szCs w:val="20"/>
              </w:rPr>
              <w:t xml:space="preserve">✖  </w:t>
            </w:r>
            <w:r>
              <w:rPr>
                <w:b/>
                <w:bCs/>
                <w:color w:val="B3261E"/>
                <w:sz w:val="18"/>
                <w:szCs w:val="18"/>
              </w:rPr>
              <w:t xml:space="preserve">LES CLÉS JSON DE COMPTE DE SERVICE</w:t>
            </w:r>
          </w:p>
          <w:p>
            <w:pPr>
              <w:spacing w:after="0" w:line="264"/>
            </w:pPr>
            <w:r>
              <w:t xml:space="preserve">Une clé JSON de service account GCP qui traîne dans un Secret ou une variable CI est l’un des secrets les plus dangereux à exposer : elle est </w:t>
            </w:r>
            <w:r>
              <w:rPr>
                <w:b/>
                <w:bCs/>
              </w:rPr>
              <w:t xml:space="preserve">longue durée</w:t>
            </w:r>
            <w:r>
              <w:t xml:space="preserve"> et souvent </w:t>
            </w:r>
            <w:r>
              <w:rPr>
                <w:b/>
                <w:bCs/>
              </w:rPr>
              <w:t xml:space="preserve">très privilégiée</w:t>
            </w:r>
            <w:r>
              <w:t xml:space="preserve">. Workload Identity et OIDC existent précisément pour les </w:t>
            </w:r>
            <w:r>
              <w:rPr>
                <w:b/>
                <w:bCs/>
              </w:rPr>
              <w:t xml:space="preserve">éliminer</w:t>
            </w:r>
            <w:r>
              <w:t xml:space="preserve">.</w:t>
            </w:r>
          </w:p>
        </w:tc>
      </w:tr>
    </w:tbl>
    <w:p>
      <w:pPr>
        <w:pStyle w:val="Heading2"/>
      </w:pPr>
      <w:r>
        <w:t xml:space="preserve">4.3 Bootstrap de l’agent</w:t>
      </w:r>
    </w:p>
    <w:p>
      <w:pPr>
        <w:pStyle w:val="ListParagraph"/>
        <w:numPr>
          <w:ilvl w:val="0"/>
          <w:numId w:val="3"/>
        </w:numPr>
        <w:spacing w:after="60" w:line="264"/>
      </w:pPr>
      <w:r>
        <w:rPr>
          <w:b/>
          <w:bCs/>
        </w:rPr>
        <w:t xml:space="preserve">ArgoCD</w:t>
      </w:r>
      <w:r>
        <w:t xml:space="preserve"> : </w:t>
      </w:r>
      <w:r>
        <w:rPr>
          <w:rFonts w:ascii="Consolas" w:cs="Consolas" w:eastAsia="Consolas" w:hAnsi="Consolas"/>
          <w:color w:val="0E7C7B"/>
          <w:sz w:val="19"/>
          <w:szCs w:val="19"/>
          <w:shd w:fill="F4F6F8" w:val="clear"/>
        </w:rPr>
        <w:t xml:space="preserve">kubectl apply -n argocd -f install.yaml</w:t>
      </w:r>
      <w:r>
        <w:t xml:space="preserve">, puis on applique l’Application racine (App-of-Apps).</w:t>
      </w:r>
    </w:p>
    <w:p>
      <w:pPr>
        <w:pStyle w:val="ListParagraph"/>
        <w:numPr>
          <w:ilvl w:val="0"/>
          <w:numId w:val="3"/>
        </w:numPr>
        <w:spacing w:after="60" w:line="264"/>
      </w:pPr>
      <w:r>
        <w:rPr>
          <w:b/>
          <w:bCs/>
        </w:rPr>
        <w:t xml:space="preserve">Flux</w:t>
      </w:r>
      <w:r>
        <w:t xml:space="preserve"> : </w:t>
      </w:r>
      <w:r>
        <w:rPr>
          <w:rFonts w:ascii="Consolas" w:cs="Consolas" w:eastAsia="Consolas" w:hAnsi="Consolas"/>
          <w:color w:val="0E7C7B"/>
          <w:sz w:val="19"/>
          <w:szCs w:val="19"/>
          <w:shd w:fill="F4F6F8" w:val="clear"/>
        </w:rPr>
        <w:t xml:space="preserve">flux bootstrap gitlab --owner=… --repository=config --path=clusters/prod</w:t>
      </w:r>
      <w:r>
        <w:t xml:space="preserve"> — Flux s’installe </w:t>
      </w:r>
      <w:r>
        <w:rPr>
          <w:b/>
          <w:bCs/>
        </w:rPr>
        <w:t xml:space="preserve">et</w:t>
      </w:r>
      <w:r>
        <w:t xml:space="preserve"> se met sous gestion GitOps (il se réconcilie lui-même).</w:t>
      </w:r>
    </w:p>
    <w:p>
      <w:r>
        <w:br w:type="page"/>
      </w:r>
    </w:p>
    <w:p>
      <w:pPr>
        <w:pStyle w:val="Heading1"/>
      </w:pPr>
      <w:r>
        <w:t xml:space="preserve">5. ArgoCD vs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3300"/>
        <w:gridCol w:w="3300"/>
      </w:tblGrid>
      <w:tr>
        <w:trPr>
          <w:tblHeader/>
        </w:trPr>
        <w:tc>
          <w:tcPr>
            <w:tcW w:type="dxa" w:w="24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Critère</w:t>
            </w:r>
          </w:p>
        </w:tc>
        <w:tc>
          <w:tcPr>
            <w:tcW w:type="dxa" w:w="33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ArgoCD</w:t>
            </w:r>
          </w:p>
        </w:tc>
        <w:tc>
          <w:tcPr>
            <w:tcW w:type="dxa" w:w="33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Flux</w:t>
            </w:r>
          </w:p>
        </w:tc>
      </w:tr>
      <w:tr>
        <w:tc>
          <w:tcPr>
            <w:tcW w:type="dxa" w:w="2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Interface</w:t>
            </w:r>
          </w:p>
        </w:tc>
        <w:tc>
          <w:tcPr>
            <w:tcW w:type="dxa" w:w="33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UI riche intégrée</w:t>
            </w:r>
          </w:p>
        </w:tc>
        <w:tc>
          <w:tcPr>
            <w:tcW w:type="dxa" w:w="33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CLI + ressources K8s (UI tierce)</w:t>
            </w:r>
          </w:p>
        </w:tc>
      </w:tr>
      <w:tr>
        <w:tc>
          <w:tcPr>
            <w:tcW w:type="dxa" w:w="2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Modèle</w:t>
            </w:r>
          </w:p>
        </w:tc>
        <w:tc>
          <w:tcPr>
            <w:tcW w:type="dxa" w:w="33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Application / ApplicationSet</w:t>
            </w:r>
          </w:p>
        </w:tc>
        <w:tc>
          <w:tcPr>
            <w:tcW w:type="dxa" w:w="33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Source + Kustomization/HelmRelease</w:t>
            </w:r>
          </w:p>
        </w:tc>
      </w:tr>
      <w:tr>
        <w:tc>
          <w:tcPr>
            <w:tcW w:type="dxa" w:w="2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Multi-tenant</w:t>
            </w:r>
          </w:p>
        </w:tc>
        <w:tc>
          <w:tcPr>
            <w:tcW w:type="dxa" w:w="33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Projects, RBAC fin, SSO natif</w:t>
            </w:r>
          </w:p>
        </w:tc>
        <w:tc>
          <w:tcPr>
            <w:tcW w:type="dxa" w:w="33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Via RBAC K8s + tenancy</w:t>
            </w:r>
          </w:p>
        </w:tc>
      </w:tr>
      <w:tr>
        <w:tc>
          <w:tcPr>
            <w:tcW w:type="dxa" w:w="2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Auto-update d’image</w:t>
            </w:r>
          </w:p>
        </w:tc>
        <w:tc>
          <w:tcPr>
            <w:tcW w:type="dxa" w:w="33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Externe (CI commit le digest)</w:t>
            </w:r>
          </w:p>
        </w:tc>
        <w:tc>
          <w:tcPr>
            <w:tcW w:type="dxa" w:w="33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Natif (image automation)</w:t>
            </w:r>
          </w:p>
        </w:tc>
      </w:tr>
      <w:tr>
        <w:tc>
          <w:tcPr>
            <w:tcW w:type="dxa" w:w="2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Empreinte</w:t>
            </w:r>
          </w:p>
        </w:tc>
        <w:tc>
          <w:tcPr>
            <w:tcW w:type="dxa" w:w="33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Plus monolithique</w:t>
            </w:r>
          </w:p>
        </w:tc>
        <w:tc>
          <w:tcPr>
            <w:tcW w:type="dxa" w:w="33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Modulaire (contrôleurs séparés)</w:t>
            </w:r>
          </w:p>
        </w:tc>
      </w:tr>
      <w:tr>
        <w:tc>
          <w:tcPr>
            <w:tcW w:type="dxa" w:w="2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Idéal pour</w:t>
            </w:r>
          </w:p>
        </w:tc>
        <w:tc>
          <w:tcPr>
            <w:tcW w:type="dxa" w:w="33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Équipes voulant visibilité/UI</w:t>
            </w:r>
          </w:p>
        </w:tc>
        <w:tc>
          <w:tcPr>
            <w:tcW w:type="dxa" w:w="33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Équipes « tout-en-ressources K8s »</w:t>
            </w:r>
          </w:p>
        </w:tc>
      </w:tr>
    </w:tbl>
    <w:tbl>
      <w:tblPr>
        <w:tblW w:type="dxa" w:w="9026"/>
        <w:tblBorders>
          <w:top w:val="none" w:color="FFFFFF" w:sz="0"/>
          <w:left w:val="single" w:color="1F3A93" w:sz="24"/>
          <w:bottom w:val="none" w:color="FFFFFF" w:sz="0"/>
          <w:right w:val="none" w:color="FFFFFF" w:sz="0"/>
          <w:insideH w:val="none"/>
          <w:insideV w:val="none"/>
        </w:tblBorders>
      </w:tblPr>
      <w:tblGrid>
        <w:gridCol w:w="9026"/>
      </w:tblGrid>
      <w:tr>
        <w:tc>
          <w:tcPr>
            <w:tcW w:type="dxa" w:w="9026"/>
            <w:tcBorders>
              <w:top w:val="none" w:color="FFFFFF" w:sz="0"/>
              <w:left w:val="single" w:color="1F3A93" w:sz="24"/>
              <w:bottom w:val="none" w:color="FFFFFF" w:sz="0"/>
              <w:right w:val="none" w:color="FFFFFF" w:sz="0"/>
            </w:tcBorders>
            <w:shd w:fill="E8F0FB" w:val="clear"/>
            <w:tcMar>
              <w:top w:type="dxa" w:w="120"/>
              <w:left w:type="dxa" w:w="200"/>
              <w:bottom w:type="dxa" w:w="120"/>
              <w:right w:type="dxa" w:w="160"/>
            </w:tcMar>
          </w:tcPr>
          <w:p>
            <w:pPr>
              <w:spacing w:after="60"/>
            </w:pPr>
            <w:r>
              <w:rPr>
                <w:b/>
                <w:bCs/>
                <w:color w:val="1F3A93"/>
                <w:sz w:val="20"/>
                <w:szCs w:val="20"/>
              </w:rPr>
              <w:t xml:space="preserve">ℹ  </w:t>
            </w:r>
            <w:r>
              <w:rPr>
                <w:b/>
                <w:bCs/>
                <w:color w:val="1F3A93"/>
                <w:sz w:val="18"/>
                <w:szCs w:val="18"/>
              </w:rPr>
              <w:t xml:space="preserve">INFO</w:t>
            </w:r>
          </w:p>
          <w:p>
            <w:pPr>
              <w:spacing w:after="0" w:line="264"/>
            </w:pPr>
            <w:r>
              <w:t xml:space="preserve">Les deux sont des projets </w:t>
            </w:r>
            <w:r>
              <w:rPr>
                <w:b/>
                <w:bCs/>
              </w:rPr>
              <w:t xml:space="preserve">CNCF gradués</w:t>
            </w:r>
            <w:r>
              <w:t xml:space="preserve">, matures et utilisés en production à grande échelle. Le choix relève davantage de la culture d’équipe (UI vs tout-déclaratif) et du besoin d’automatisation d’images que d’une supériorité technique tranchée. Certaines plateformes proposent même les </w:t>
            </w:r>
            <w:r>
              <w:rPr>
                <w:b/>
                <w:bCs/>
              </w:rPr>
              <w:t xml:space="preserve">deux</w:t>
            </w:r>
            <w:r>
              <w:t xml:space="preserve">.</w:t>
            </w:r>
          </w:p>
        </w:tc>
      </w:tr>
    </w:tbl>
    <w:p>
      <w:r>
        <w:br w:type="page"/>
      </w:r>
    </w:p>
    <w:p>
      <w:pPr>
        <w:pStyle w:val="Heading1"/>
      </w:pPr>
      <w:r>
        <w:t xml:space="preserve">6. Progressive delivery en GitOps</w:t>
      </w:r>
    </w:p>
    <w:p>
      <w:pPr>
        <w:spacing w:after="120" w:line="276"/>
      </w:pPr>
      <w:r>
        <w:t xml:space="preserve">GitOps déploie l’état désiré, mais ne gère pas seul le </w:t>
      </w:r>
      <w:r>
        <w:rPr>
          <w:b/>
          <w:bCs/>
        </w:rPr>
        <w:t xml:space="preserve">comment</w:t>
      </w:r>
      <w:r>
        <w:t xml:space="preserve"> de la montée en charge (canary, blue/green). On lui adjoint un contrôleur de </w:t>
      </w:r>
      <w:r>
        <w:rPr>
          <w:i/>
          <w:iCs/>
        </w:rPr>
        <w:t xml:space="preserve">progressive delivery</w:t>
      </w:r>
      <w:r>
        <w:t xml:space="preserve"> :</w:t>
      </w:r>
    </w:p>
    <w:p>
      <w:pPr>
        <w:pStyle w:val="ListParagraph"/>
        <w:numPr>
          <w:ilvl w:val="0"/>
          <w:numId w:val="3"/>
        </w:numPr>
        <w:spacing w:after="60" w:line="264"/>
      </w:pPr>
      <w:r>
        <w:rPr>
          <w:b/>
          <w:bCs/>
        </w:rPr>
        <w:t xml:space="preserve">Argo Rollouts</w:t>
      </w:r>
      <w:r>
        <w:t xml:space="preserve"> (écosystème ArgoCD) : remplace le Deployment par un </w:t>
      </w:r>
      <w:r>
        <w:rPr>
          <w:rFonts w:ascii="Consolas" w:cs="Consolas" w:eastAsia="Consolas" w:hAnsi="Consolas"/>
          <w:color w:val="0E7C7B"/>
          <w:sz w:val="19"/>
          <w:szCs w:val="19"/>
          <w:shd w:fill="F4F6F8" w:val="clear"/>
        </w:rPr>
        <w:t xml:space="preserve">Rollout</w:t>
      </w:r>
      <w:r>
        <w:t xml:space="preserve"> capable de canary/blue-green pilotés par des métriques.</w:t>
      </w:r>
    </w:p>
    <w:p>
      <w:pPr>
        <w:pStyle w:val="ListParagraph"/>
        <w:numPr>
          <w:ilvl w:val="0"/>
          <w:numId w:val="3"/>
        </w:numPr>
        <w:spacing w:after="60" w:line="264"/>
      </w:pPr>
      <w:r>
        <w:rPr>
          <w:b/>
          <w:bCs/>
        </w:rPr>
        <w:t xml:space="preserve">Flagger</w:t>
      </w:r>
      <w:r>
        <w:t xml:space="preserve"> (écosystème Flux) : automatise canary/blue-green en s’appuyant sur le service mesh / l’ingress et les métriques.</w:t>
      </w:r>
    </w:p>
    <w:p>
      <w:pPr>
        <w:spacing w:after="120" w:line="276"/>
      </w:pPr>
      <w:r>
        <w:t xml:space="preserve">Ces mécanismes décident de </w:t>
      </w:r>
      <w:r>
        <w:rPr>
          <w:b/>
          <w:bCs/>
        </w:rPr>
        <w:t xml:space="preserve">basculer le trafic</w:t>
      </w:r>
      <w:r>
        <w:t xml:space="preserve"> progressivement. Ils se combinent naturellement avec les </w:t>
      </w:r>
      <w:r>
        <w:rPr>
          <w:b/>
          <w:bCs/>
        </w:rPr>
        <w:t xml:space="preserve">feature flags</w:t>
      </w:r>
      <w:r>
        <w:t xml:space="preserve"> (module 07) qui, eux, décident de </w:t>
      </w:r>
      <w:r>
        <w:rPr>
          <w:b/>
          <w:bCs/>
        </w:rPr>
        <w:t xml:space="preserve">l’activation fonctionnelle</w:t>
      </w:r>
      <w:r>
        <w:t xml:space="preserve"> côté application. Les deux leviers sont complémentaires.</w:t>
      </w:r>
    </w:p>
    <w:p>
      <w:pPr>
        <w:pBdr>
          <w:bottom w:val="single" w:color="D6DBE3" w:sz="6" w:space="2"/>
        </w:pBdr>
        <w:spacing w:after="120" w:before="120"/>
      </w:pPr>
      <w:r>
        <w:t xml:space="preserve"/>
      </w:r>
    </w:p>
    <w:p>
      <w:pPr>
        <w:pStyle w:val="Heading2"/>
      </w:pPr>
      <w:r>
        <w:t xml:space="preserve">À retenir</w:t>
      </w:r>
    </w:p>
    <w:p>
      <w:pPr>
        <w:pStyle w:val="ListParagraph"/>
        <w:numPr>
          <w:ilvl w:val="0"/>
          <w:numId w:val="3"/>
        </w:numPr>
        <w:spacing w:after="60" w:line="264"/>
      </w:pPr>
      <w:r>
        <w:t xml:space="preserve">GitOps = état désiré dans </w:t>
      </w:r>
      <w:r>
        <w:rPr>
          <w:b/>
          <w:bCs/>
        </w:rPr>
        <w:t xml:space="preserve">Git</w:t>
      </w:r>
      <w:r>
        <w:t xml:space="preserve">, </w:t>
      </w:r>
      <w:r>
        <w:rPr>
          <w:b/>
          <w:bCs/>
        </w:rPr>
        <w:t xml:space="preserve">tiré</w:t>
      </w:r>
      <w:r>
        <w:t xml:space="preserve"> par un agent interne, </w:t>
      </w:r>
      <w:r>
        <w:rPr>
          <w:b/>
          <w:bCs/>
        </w:rPr>
        <w:t xml:space="preserve">réconcilié</w:t>
      </w:r>
      <w:r>
        <w:t xml:space="preserve"> en continu.</w:t>
      </w:r>
    </w:p>
    <w:p>
      <w:pPr>
        <w:pStyle w:val="ListParagraph"/>
        <w:numPr>
          <w:ilvl w:val="0"/>
          <w:numId w:val="3"/>
        </w:numPr>
        <w:spacing w:after="60" w:line="264"/>
      </w:pPr>
      <w:r>
        <w:rPr>
          <w:b/>
          <w:bCs/>
        </w:rPr>
        <w:t xml:space="preserve">Pull &gt; push</w:t>
      </w:r>
      <w:r>
        <w:t xml:space="preserve"> : la CI commit, le cluster tire ; plus aucun credential cluster à l’extérieur.</w:t>
      </w:r>
    </w:p>
    <w:p>
      <w:pPr>
        <w:pStyle w:val="ListParagraph"/>
        <w:numPr>
          <w:ilvl w:val="0"/>
          <w:numId w:val="3"/>
        </w:numPr>
        <w:spacing w:after="60" w:line="264"/>
      </w:pPr>
      <w:r>
        <w:rPr>
          <w:b/>
          <w:bCs/>
        </w:rPr>
        <w:t xml:space="preserve">ArgoCD</w:t>
      </w:r>
      <w:r>
        <w:t xml:space="preserve"> pense en </w:t>
      </w:r>
      <w:r>
        <w:rPr>
          <w:rFonts w:ascii="Consolas" w:cs="Consolas" w:eastAsia="Consolas" w:hAnsi="Consolas"/>
          <w:color w:val="0E7C7B"/>
          <w:sz w:val="19"/>
          <w:szCs w:val="19"/>
          <w:shd w:fill="F4F6F8" w:val="clear"/>
        </w:rPr>
        <w:t xml:space="preserve">Application</w:t>
      </w:r>
      <w:r>
        <w:t xml:space="preserve"> (UI, App-of-Apps, self-heal) ; </w:t>
      </w:r>
      <w:r>
        <w:rPr>
          <w:b/>
          <w:bCs/>
        </w:rPr>
        <w:t xml:space="preserve">Flux</w:t>
      </w:r>
      <w:r>
        <w:t xml:space="preserve"> en contrôleurs (source + Kustomization + image automation).</w:t>
      </w:r>
    </w:p>
    <w:p>
      <w:pPr>
        <w:pStyle w:val="ListParagraph"/>
        <w:numPr>
          <w:ilvl w:val="0"/>
          <w:numId w:val="3"/>
        </w:numPr>
        <w:spacing w:after="60" w:line="264"/>
      </w:pPr>
      <w:r>
        <w:t xml:space="preserve">Sur </w:t>
      </w:r>
      <w:r>
        <w:rPr>
          <w:b/>
          <w:bCs/>
        </w:rPr>
        <w:t xml:space="preserve">GKE</w:t>
      </w:r>
      <w:r>
        <w:t xml:space="preserve">, utiliser </w:t>
      </w:r>
      <w:r>
        <w:rPr>
          <w:b/>
          <w:bCs/>
        </w:rPr>
        <w:t xml:space="preserve">Workload Identity</w:t>
      </w:r>
      <w:r>
        <w:t xml:space="preserve"> : aucune clé de service durable.</w:t>
      </w:r>
    </w:p>
    <w:p>
      <w:pPr>
        <w:pStyle w:val="ListParagraph"/>
        <w:numPr>
          <w:ilvl w:val="0"/>
          <w:numId w:val="3"/>
        </w:numPr>
        <w:spacing w:after="60" w:line="264"/>
      </w:pPr>
      <w:r>
        <w:rPr>
          <w:rFonts w:ascii="Consolas" w:cs="Consolas" w:eastAsia="Consolas" w:hAnsi="Consolas"/>
          <w:color w:val="0E7C7B"/>
          <w:sz w:val="19"/>
          <w:szCs w:val="19"/>
          <w:shd w:fill="F4F6F8" w:val="clear"/>
        </w:rPr>
        <w:t xml:space="preserve">prune</w:t>
      </w:r>
      <w:r>
        <w:t xml:space="preserve"> + </w:t>
      </w:r>
      <w:r>
        <w:rPr>
          <w:rFonts w:ascii="Consolas" w:cs="Consolas" w:eastAsia="Consolas" w:hAnsi="Consolas"/>
          <w:color w:val="0E7C7B"/>
          <w:sz w:val="19"/>
          <w:szCs w:val="19"/>
          <w:shd w:fill="F4F6F8" w:val="clear"/>
        </w:rPr>
        <w:t xml:space="preserve">selfHeal</w:t>
      </w:r>
      <w:r>
        <w:t xml:space="preserve"> éliminent la dérive — au prix d’une discipline « on ne touche plus à la main ».</w:t>
      </w:r>
    </w:p>
    <w:p>
      <w:pPr>
        <w:pStyle w:val="ListParagraph"/>
        <w:numPr>
          <w:ilvl w:val="0"/>
          <w:numId w:val="3"/>
        </w:numPr>
        <w:spacing w:after="60" w:line="264"/>
      </w:pPr>
      <w:r>
        <w:rPr>
          <w:b/>
          <w:bCs/>
        </w:rPr>
        <w:t xml:space="preserve">Argo Rollouts / Flagger</w:t>
      </w:r>
      <w:r>
        <w:t xml:space="preserve"> gèrent canary/blue-green ; complémentaires des feature flags.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BE3" w:sz="4" w:space="4"/>
      </w:pBdr>
      <w:tabs>
        <w:tab w:val="right" w:pos="9026"/>
      </w:tabs>
    </w:pPr>
    <w:r>
      <w:rPr>
        <w:color w:val="7A828F"/>
        <w:sz w:val="15"/>
        <w:szCs w:val="15"/>
      </w:rPr>
      <w:t xml:space="preserve">Usage interne — CC BY-SA</w:t>
    </w:r>
    <w:r>
      <w:rPr>
        <w:color w:val="7A828F"/>
        <w:sz w:val="15"/>
        <w:szCs w:val="15"/>
      </w:rPr>
      <w:t xml:space="preserve">	Page </w:t>
    </w:r>
    <w:r>
      <w:rPr>
        <w:color w:val="7A828F"/>
        <w:sz w:val="15"/>
        <w:szCs w:val="15"/>
      </w:rPr>
      <w:fldChar w:fldCharType="begin"/>
      <w:instrText xml:space="preserve">PAGE</w:instrText>
      <w:fldChar w:fldCharType="separate"/>
      <w:fldChar w:fldCharType="end"/>
    </w:r>
    <w:r>
      <w:rPr>
        <w:color w:val="7A828F"/>
        <w:sz w:val="15"/>
        <w:szCs w:val="15"/>
      </w:rPr>
      <w:t xml:space="preserve"> / </w:t>
    </w:r>
    <w:r>
      <w:rPr>
        <w:color w:val="7A828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BE3" w:sz="4" w:space="4"/>
      </w:pBdr>
      <w:tabs>
        <w:tab w:val="right" w:pos="9026"/>
      </w:tabs>
    </w:pPr>
    <w:r>
      <w:rPr>
        <w:b/>
        <w:bCs/>
        <w:color w:val="1F3A93"/>
        <w:sz w:val="16"/>
        <w:szCs w:val="16"/>
      </w:rPr>
      <w:t xml:space="preserve">Formation DevOps</w:t>
    </w:r>
    <w:r>
      <w:rPr>
        <w:color w:val="7A828F"/>
        <w:sz w:val="16"/>
        <w:szCs w:val="16"/>
      </w:rPr>
      <w:t xml:space="preserve">	Module 06 — GitOps (ArgoCD/Flux/GCP)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93" w:sz="8" w:space="6"/>
      </w:pBdr>
      <w:spacing w:after="180" w:before="360"/>
      <w:outlineLvl w:val="0"/>
    </w:pPr>
    <w:rPr>
      <w:rFonts w:ascii="Calibri" w:cs="Calibri" w:eastAsia="Calibri" w:hAnsi="Calibri"/>
      <w:b/>
      <w:bCs/>
      <w:color w:val="1F3A93"/>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1F3A93"/>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E7C7B"/>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F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Formation DevOps</dc:title>
  <dc:creator>Formation DevOps</dc:creator>
  <cp:lastModifiedBy>Un-named</cp:lastModifiedBy>
  <cp:revision>1</cp:revision>
  <dcterms:created xsi:type="dcterms:W3CDTF">2026-05-27T11:20:04.283Z</dcterms:created>
  <dcterms:modified xsi:type="dcterms:W3CDTF">2026-05-27T11:20:04.284Z</dcterms:modified>
</cp:coreProperties>
</file>

<file path=docProps/custom.xml><?xml version="1.0" encoding="utf-8"?>
<Properties xmlns="http://schemas.openxmlformats.org/officeDocument/2006/custom-properties" xmlns:vt="http://schemas.openxmlformats.org/officeDocument/2006/docPropsVTypes"/>
</file>