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sz w:val="48"/>
          <w:szCs w:val="48"/>
        </w:rPr>
        <w:t xml:space="preserve"> </w:t>
      </w:r>
    </w:p>
    <w:p>
      <w:pPr>
        <w:spacing w:after="60"/>
        <w:jc w:val="left"/>
      </w:pPr>
      <w:r>
        <w:rPr>
          <w:b/>
          <w:bCs/>
          <w:color w:val="0E7C7B"/>
          <w:sz w:val="26"/>
          <w:szCs w:val="26"/>
        </w:rPr>
        <w:t xml:space="preserve">FORMATION DEVOPS</w:t>
      </w:r>
    </w:p>
    <w:p>
      <w:pPr>
        <w:pBdr>
          <w:bottom w:val="single" w:color="1F3A93" w:sz="12" w:space="8"/>
        </w:pBdr>
        <w:spacing w:after="200"/>
      </w:pPr>
      <w:r>
        <w:rPr>
          <w:b/>
          <w:bCs/>
          <w:color w:val="1F3A93"/>
          <w:sz w:val="60"/>
          <w:szCs w:val="60"/>
        </w:rPr>
        <w:t xml:space="preserve">MODULE 07</w:t>
      </w:r>
    </w:p>
    <w:p>
      <w:pPr>
        <w:spacing w:after="100"/>
      </w:pPr>
      <w:r>
        <w:rPr>
          <w:b/>
          <w:bCs/>
          <w:color w:val="1A1F2B"/>
          <w:sz w:val="48"/>
          <w:szCs w:val="48"/>
        </w:rPr>
        <w:t xml:space="preserve">Feature Flags &amp; Progressive Delivery</w:t>
      </w:r>
    </w:p>
    <w:p>
      <w:pPr>
        <w:spacing w:after="300"/>
      </w:pPr>
      <w:r>
        <w:rPr>
          <w:i/>
          <w:iCs/>
          <w:color w:val="4A5160"/>
          <w:sz w:val="26"/>
          <w:szCs w:val="26"/>
        </w:rPr>
        <w:t xml:space="preserve">Découpler le déploiement de l’activation, livrer sans risque</w:t>
      </w:r>
    </w:p>
    <w:p>
      <w:pPr>
        <w:spacing w:after="80"/>
      </w:pPr>
      <w:r>
        <w:rPr>
          <w:b/>
          <w:bCs/>
          <w:color w:val="1A1F2B"/>
          <w:sz w:val="22"/>
          <w:szCs w:val="22"/>
        </w:rPr>
        <w:t xml:space="preserve">Niveau : </w:t>
      </w:r>
      <w:r>
        <w:rPr>
          <w:b/>
          <w:bCs/>
          <w:color w:val="0E7C7B"/>
          <w:sz w:val="22"/>
          <w:szCs w:val="22"/>
        </w:rPr>
        <w:t xml:space="preserve">Avancé</w:t>
      </w:r>
    </w:p>
    <w:p>
      <w:pPr>
        <w:spacing w:after="300"/>
      </w:pPr>
      <w:r>
        <w:rPr>
          <w:b/>
          <w:bCs/>
          <w:color w:val="1A1F2B"/>
          <w:sz w:val="22"/>
          <w:szCs w:val="22"/>
        </w:rPr>
        <w:t xml:space="preserve">Stack : </w:t>
      </w:r>
      <w:r>
        <w:rPr>
          <w:color w:val="4A5160"/>
          <w:sz w:val="22"/>
          <w:szCs w:val="22"/>
        </w:rPr>
        <w:t xml:space="preserve">Feature Flags · Canary · Blue/Green · Kill Switch · Targeting</w:t>
      </w:r>
    </w:p>
    <w:p>
      <w:pPr>
        <w:spacing w:after="60"/>
      </w:pPr>
      <w:r>
        <w:rPr>
          <w:sz w:val="32"/>
          <w:szCs w:val="32"/>
        </w:rPr>
        <w:t xml:space="preserve"> </w:t>
      </w:r>
    </w:p>
    <w:p>
      <w:r>
        <w:rPr>
          <w:i/>
          <w:iCs/>
          <w:color w:val="7A828F"/>
          <w:sz w:val="18"/>
          <w:szCs w:val="18"/>
        </w:rPr>
        <w:t xml:space="preserve">Parcours complet « de zéro à expert » — GitLab · Kustomize · SonarQube · Vault · Artifactory · ArgoCD · Flux · GCP · Feature Flags</w:t>
      </w:r>
    </w:p>
    <w:p>
      <w:r>
        <w:br w:type="page"/>
      </w:r>
    </w:p>
    <w:p>
      <w:pPr>
        <w:pStyle w:val="Heading1"/>
      </w:pPr>
      <w: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Pourquoi les feature flags changent tout</w:t>
      </w:r>
    </w:p>
    <w:tbl>
      <w:tblPr>
        <w:tblW w:type="dxa" w:w="9026"/>
        <w:tblBorders>
          <w:top w:val="none" w:color="FFFFFF" w:sz="0"/>
          <w:left w:val="single" w:color="1F3A93" w:sz="24"/>
          <w:bottom w:val="none" w:color="FFFFFF" w:sz="0"/>
          <w:right w:val="none" w:color="FFFFFF" w:sz="0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3A93" w:sz="24"/>
              <w:bottom w:val="none" w:color="FFFFFF" w:sz="0"/>
              <w:right w:val="none" w:color="FFFFFF" w:sz="0"/>
            </w:tcBorders>
            <w:shd w:fill="E8F0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93"/>
                <w:sz w:val="20"/>
                <w:szCs w:val="20"/>
              </w:rPr>
              <w:t xml:space="preserve">ℹ  </w:t>
            </w:r>
            <w:r>
              <w:rPr>
                <w:b/>
                <w:bCs/>
                <w:color w:val="1F3A93"/>
                <w:sz w:val="18"/>
                <w:szCs w:val="18"/>
              </w:rPr>
              <w:t xml:space="preserve">OBJECTIFS PÉDAGOGIQUES DE CE MODULE</w:t>
            </w:r>
          </w:p>
          <w:p>
            <w:pPr>
              <w:spacing w:after="60" w:line="264"/>
            </w:pPr>
            <w:r>
              <w:t xml:space="preserve">Comprendre la séparation déploiement / activation et ses bénéfices.</w:t>
            </w:r>
          </w:p>
          <w:p>
            <w:pPr>
              <w:spacing w:after="60" w:line="264"/>
            </w:pPr>
            <w:r>
              <w:t xml:space="preserve">Connaître les types de flags et leur cycle de vie.</w:t>
            </w:r>
          </w:p>
          <w:p>
            <w:pPr>
              <w:spacing w:after="60" w:line="264"/>
            </w:pPr>
            <w:r>
              <w:t xml:space="preserve">Maîtriser le ciblage et le déploiement progressif (canary, %, rings).</w:t>
            </w:r>
          </w:p>
          <w:p>
            <w:pPr>
              <w:spacing w:after="0" w:line="264"/>
            </w:pPr>
            <w:r>
              <w:t xml:space="preserve">Éviter la dette de flags et opérer un kill switch.</w:t>
            </w:r>
          </w:p>
        </w:tc>
      </w:tr>
    </w:tbl>
    <w:p>
      <w:pPr>
        <w:spacing w:after="160" w:line="288"/>
      </w:pPr>
      <w:r>
        <w:rPr>
          <w:i/>
          <w:iCs/>
          <w:color w:val="4A5160"/>
          <w:sz w:val="22"/>
          <w:szCs w:val="22"/>
        </w:rPr>
        <w:t xml:space="preserve">Un feature flag (ou *feature toggle*) est une condition qui décide, à l’exécution, si un comportement est actif. Sa promesse : on peut **déployer** du code sans **l’activer**, et activer/désactiver sans **redéployer**.</w:t>
      </w:r>
    </w:p>
    <w:p>
      <w:pPr>
        <w:pStyle w:val="Heading2"/>
      </w:pPr>
      <w:r>
        <w:t xml:space="preserve">1.1 Déploiement ≠ activation</w:t>
      </w:r>
    </w:p>
    <w:p>
      <w:pPr>
        <w:spacing w:after="120" w:line="276"/>
      </w:pPr>
      <w:r>
        <w:t xml:space="preserve">C’est l’idée centrale, et le pont avec le Trunk-Based (module 01). Sans flag, livrer une fonctionnalité = la rendre visible au moment du déploiement, pour tout le monde, d’un coup. Avec flag 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On </w:t>
      </w:r>
      <w:r>
        <w:rPr>
          <w:b/>
          <w:bCs/>
        </w:rPr>
        <w:t xml:space="preserve">fusionne</w:t>
      </w:r>
      <w:r>
        <w:t xml:space="preserve"> et </w:t>
      </w:r>
      <w:r>
        <w:rPr>
          <w:b/>
          <w:bCs/>
        </w:rPr>
        <w:t xml:space="preserve">déploie</w:t>
      </w:r>
      <w:r>
        <w:t xml:space="preserve"> le code tôt, mais </w:t>
      </w:r>
      <w:r>
        <w:rPr>
          <w:b/>
          <w:bCs/>
        </w:rPr>
        <w:t xml:space="preserve">désactivé</w:t>
      </w:r>
      <w:r>
        <w:t xml:space="preserve"> (</w:t>
      </w:r>
      <w:r>
        <w:rPr>
          <w:rFonts w:ascii="Consolas" w:cs="Consolas" w:eastAsia="Consolas" w:hAnsi="Consolas"/>
          <w:color w:val="0E7C7B"/>
          <w:sz w:val="19"/>
          <w:szCs w:val="19"/>
          <w:shd w:fill="F4F6F8" w:val="clear"/>
        </w:rPr>
        <w:t xml:space="preserve">off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On </w:t>
      </w:r>
      <w:r>
        <w:rPr>
          <w:b/>
          <w:bCs/>
        </w:rPr>
        <w:t xml:space="preserve">active</w:t>
      </w:r>
      <w:r>
        <w:t xml:space="preserve"> ensuite, indépendamment, quand on veut, pour qui on veut.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Si ça tourne mal, on </w:t>
      </w:r>
      <w:r>
        <w:rPr>
          <w:b/>
          <w:bCs/>
        </w:rPr>
        <w:t xml:space="preserve">désactive</w:t>
      </w:r>
      <w:r>
        <w:t xml:space="preserve"> instantanément — sans rollback, sans redéploiement.</w:t>
      </w:r>
    </w:p>
    <w:tbl>
      <w:tblPr>
        <w:tblW w:type="dxa" w:w="9026"/>
        <w:tblBorders>
          <w:top w:val="none" w:color="FFFFFF" w:sz="0"/>
          <w:left w:val="single" w:color="1F3A93" w:sz="24"/>
          <w:bottom w:val="none" w:color="FFFFFF" w:sz="0"/>
          <w:right w:val="none" w:color="FFFFFF" w:sz="0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3A93" w:sz="24"/>
              <w:bottom w:val="none" w:color="FFFFFF" w:sz="0"/>
              <w:right w:val="none" w:color="FFFFFF" w:sz="0"/>
            </w:tcBorders>
            <w:shd w:fill="E8F0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A93"/>
                <w:sz w:val="20"/>
                <w:szCs w:val="20"/>
              </w:rPr>
              <w:t xml:space="preserve">ℹ  </w:t>
            </w:r>
            <w:r>
              <w:rPr>
                <w:b/>
                <w:bCs/>
                <w:color w:val="1F3A93"/>
                <w:sz w:val="18"/>
                <w:szCs w:val="18"/>
              </w:rPr>
              <w:t xml:space="preserve">LE BÉNÉFICE DORA DIRECT</w:t>
            </w:r>
          </w:p>
          <w:p>
            <w:pPr>
              <w:spacing w:after="0" w:line="264"/>
            </w:pPr>
            <w:r>
              <w:t xml:space="preserve">Le flag découple « déployer » (risqué et lent à annuler s’il faut rebuild) de « activer » (instantané et réversible). Il fait chuter le </w:t>
            </w:r>
            <w:r>
              <w:rPr>
                <w:b/>
                <w:bCs/>
              </w:rPr>
              <w:t xml:space="preserve">Change Failure Rate</w:t>
            </w:r>
            <w:r>
              <w:t xml:space="preserve"> et le </w:t>
            </w:r>
            <w:r>
              <w:rPr>
                <w:b/>
                <w:bCs/>
              </w:rPr>
              <w:t xml:space="preserve">MTTR</w:t>
            </w:r>
            <w:r>
              <w:t xml:space="preserve"> : un incident lié à une fonctionnalité se résout en basculant un flag, en secondes — pas en relançant un pipeline.</w:t>
            </w:r>
          </w:p>
        </w:tc>
      </w:tr>
    </w:tbl>
    <w:p>
      <w:pPr>
        <w:pStyle w:val="Heading2"/>
      </w:pPr>
      <w:r>
        <w:t xml:space="preserve">1.2 Une vieille idée, robuste</w:t>
      </w:r>
    </w:p>
    <w:p>
      <w:pPr>
        <w:spacing w:after="120" w:line="276"/>
      </w:pPr>
      <w:r>
        <w:t xml:space="preserve">Le concept n’a rien de nouveau : on pilotait déjà des comportements par des indicateurs externes bien avant le cloud — par exemple en stockant un drapeau dans un enregistrement de données que le programme relisait à chaque exécution. La forme a changé (un service d’évaluation distribué), pas le principe : </w:t>
      </w:r>
      <w:r>
        <w:rPr>
          <w:b/>
          <w:bCs/>
        </w:rPr>
        <w:t xml:space="preserve">externaliser la décision d’activation hors du binaire</w:t>
      </w:r>
      <w:r>
        <w:t xml:space="preserve">.</w:t>
      </w:r>
    </w:p>
    <w:p>
      <w:r>
        <w:br w:type="page"/>
      </w:r>
    </w:p>
    <w:p>
      <w:pPr>
        <w:pStyle w:val="Heading1"/>
      </w:pPr>
      <w:r>
        <w:t xml:space="preserve">2. Les types de flags</w:t>
      </w:r>
    </w:p>
    <w:p>
      <w:pPr>
        <w:spacing w:after="120" w:line="276"/>
      </w:pPr>
      <w:r>
        <w:t xml:space="preserve">Tous les flags ne se valent pas. Les confondre est la première source de dette. On distingue quatre familles selon leur </w:t>
      </w:r>
      <w:r>
        <w:rPr>
          <w:b/>
          <w:bCs/>
        </w:rPr>
        <w:t xml:space="preserve">longévité</w:t>
      </w:r>
      <w:r>
        <w:t xml:space="preserve"> et leur </w:t>
      </w:r>
      <w:r>
        <w:rPr>
          <w:b/>
          <w:bCs/>
        </w:rPr>
        <w:t xml:space="preserve">dynamisme</w:t>
      </w:r>
      <w:r>
        <w:t xml:space="preserve"> (taxonomie popularisée par Martin Fowler).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26"/>
        <w:gridCol w:w="2000"/>
        <w:gridCol w:w="2000"/>
      </w:tblGrid>
      <w:tr>
        <w:trPr>
          <w:tblHeader/>
        </w:trPr>
        <w:tc>
          <w:tcPr>
            <w:tcW w:type="dxa" w:w="17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1F3A9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3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1F3A9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But</w:t>
            </w:r>
          </w:p>
        </w:tc>
        <w:tc>
          <w:tcPr>
            <w:tcW w:type="dxa" w:w="20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1F3A9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Durée de vie</w:t>
            </w:r>
          </w:p>
        </w:tc>
        <w:tc>
          <w:tcPr>
            <w:tcW w:type="dxa" w:w="20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1F3A9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Change quand ?</w:t>
            </w:r>
          </w:p>
        </w:tc>
      </w:tr>
      <w:tr>
        <w:tc>
          <w:tcPr>
            <w:tcW w:type="dxa" w:w="17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Release</w:t>
            </w:r>
          </w:p>
        </w:tc>
        <w:tc>
          <w:tcPr>
            <w:tcW w:type="dxa" w:w="33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Cacher du code incomplet (trunk-based)</w:t>
            </w:r>
          </w:p>
        </w:tc>
        <w:tc>
          <w:tcPr>
            <w:tcW w:type="dxa" w:w="20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Jours → semaines</w:t>
            </w:r>
          </w:p>
        </w:tc>
        <w:tc>
          <w:tcPr>
            <w:tcW w:type="dxa" w:w="20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Au déploiement progressif</w:t>
            </w:r>
          </w:p>
        </w:tc>
      </w:tr>
      <w:tr>
        <w:tc>
          <w:tcPr>
            <w:tcW w:type="dxa" w:w="17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Experiment</w:t>
            </w:r>
          </w:p>
        </w:tc>
        <w:tc>
          <w:tcPr>
            <w:tcW w:type="dxa" w:w="33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A/B testing, mesurer un impact</w:t>
            </w:r>
          </w:p>
        </w:tc>
        <w:tc>
          <w:tcPr>
            <w:tcW w:type="dxa" w:w="20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Semaines</w:t>
            </w:r>
          </w:p>
        </w:tc>
        <w:tc>
          <w:tcPr>
            <w:tcW w:type="dxa" w:w="20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Selon l’expérience</w:t>
            </w:r>
          </w:p>
        </w:tc>
      </w:tr>
      <w:tr>
        <w:tc>
          <w:tcPr>
            <w:tcW w:type="dxa" w:w="17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Ops</w:t>
            </w:r>
          </w:p>
        </w:tc>
        <w:tc>
          <w:tcPr>
            <w:tcW w:type="dxa" w:w="33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Couper une fonctionnalité coûteuse (kill switch)</w:t>
            </w:r>
          </w:p>
        </w:tc>
        <w:tc>
          <w:tcPr>
            <w:tcW w:type="dxa" w:w="20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Longue</w:t>
            </w:r>
          </w:p>
        </w:tc>
        <w:tc>
          <w:tcPr>
            <w:tcW w:type="dxa" w:w="20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En incident / sous charge</w:t>
            </w:r>
          </w:p>
        </w:tc>
      </w:tr>
      <w:tr>
        <w:tc>
          <w:tcPr>
            <w:tcW w:type="dxa" w:w="17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Permission</w:t>
            </w:r>
          </w:p>
        </w:tc>
        <w:tc>
          <w:tcPr>
            <w:tcW w:type="dxa" w:w="33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Activer selon le profil/abonnement</w:t>
            </w:r>
          </w:p>
        </w:tc>
        <w:tc>
          <w:tcPr>
            <w:tcW w:type="dxa" w:w="20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Permanente</w:t>
            </w:r>
          </w:p>
        </w:tc>
        <w:tc>
          <w:tcPr>
            <w:tcW w:type="dxa" w:w="20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Selon l’utilisateur</w:t>
            </w:r>
          </w:p>
        </w:tc>
      </w:tr>
    </w:tbl>
    <w:tbl>
      <w:tblPr>
        <w:tblW w:type="dxa" w:w="9026"/>
        <w:tblBorders>
          <w:top w:val="none" w:color="FFFFFF" w:sz="0"/>
          <w:left w:val="single" w:color="C26A12" w:sz="24"/>
          <w:bottom w:val="none" w:color="FFFFFF" w:sz="0"/>
          <w:right w:val="none" w:color="FFFFFF" w:sz="0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26A12" w:sz="24"/>
              <w:bottom w:val="none" w:color="FFFFFF" w:sz="0"/>
              <w:right w:val="none" w:color="FFFFFF" w:sz="0"/>
            </w:tcBorders>
            <w:shd w:fill="FDF1E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26A12"/>
                <w:sz w:val="20"/>
                <w:szCs w:val="20"/>
              </w:rPr>
              <w:t xml:space="preserve">⚠  </w:t>
            </w:r>
            <w:r>
              <w:rPr>
                <w:b/>
                <w:bCs/>
                <w:color w:val="C26A12"/>
                <w:sz w:val="18"/>
                <w:szCs w:val="18"/>
              </w:rPr>
              <w:t xml:space="preserve">NE MÉLANGE PAS LES DURÉES DE VIE</w:t>
            </w:r>
          </w:p>
          <w:p>
            <w:pPr>
              <w:spacing w:after="0" w:line="264"/>
            </w:pPr>
            <w:r>
              <w:t xml:space="preserve">Un flag de </w:t>
            </w:r>
            <w:r>
              <w:rPr>
                <w:b/>
                <w:bCs/>
              </w:rPr>
              <w:t xml:space="preserve">release</w:t>
            </w:r>
            <w:r>
              <w:t xml:space="preserve"> doit </w:t>
            </w:r>
            <w:r>
              <w:rPr>
                <w:b/>
                <w:bCs/>
              </w:rPr>
              <w:t xml:space="preserve">disparaître</w:t>
            </w:r>
            <w:r>
              <w:t xml:space="preserve"> une fois la fonctionnalité à 100 %. Un flag de </w:t>
            </w:r>
            <w:r>
              <w:rPr>
                <w:b/>
                <w:bCs/>
              </w:rPr>
              <w:t xml:space="preserve">permission</w:t>
            </w:r>
            <w:r>
              <w:t xml:space="preserve"> est </w:t>
            </w:r>
            <w:r>
              <w:rPr>
                <w:b/>
                <w:bCs/>
              </w:rPr>
              <w:t xml:space="preserve">permanent</w:t>
            </w:r>
            <w:r>
              <w:t xml:space="preserve"> par nature. Traiter un flag temporaire comme permanent (« on le garde au cas où ») est exactement ainsi que naît la dette de flags (section 6).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Évaluer un flag</w:t>
      </w:r>
    </w:p>
    <w:p>
      <w:pPr>
        <w:pStyle w:val="Heading2"/>
      </w:pPr>
      <w:r>
        <w:t xml:space="preserve">3.1 Le contexte d’évaluation</w:t>
      </w:r>
    </w:p>
    <w:p>
      <w:pPr>
        <w:spacing w:after="120" w:line="276"/>
      </w:pPr>
      <w:r>
        <w:t xml:space="preserve">Un flag ne répond pas juste « on/off » : il évalue une </w:t>
      </w:r>
      <w:r>
        <w:rPr>
          <w:b/>
          <w:bCs/>
        </w:rPr>
        <w:t xml:space="preserve">décision</w:t>
      </w:r>
      <w:r>
        <w:t xml:space="preserve"> en fonction d’un </w:t>
      </w:r>
      <w:r>
        <w:rPr>
          <w:b/>
          <w:bCs/>
        </w:rPr>
        <w:t xml:space="preserve">contexte</w:t>
      </w:r>
      <w:r>
        <w:t xml:space="preserve"> (qui, où, quand). C’est ce qui permet le ciblage.</w:t>
      </w:r>
    </w:p>
    <w:tbl>
      <w:tblPr>
        <w:tblW w:type="dxa" w:w="9026"/>
        <w:tblBorders>
          <w:top w:val="single" w:color="D6DBE3" w:sz="2"/>
          <w:left w:val="single" w:color="0E7C7B" w:sz="18"/>
          <w:bottom w:val="single" w:color="D6DBE3" w:sz="2"/>
          <w:right w:val="single" w:color="D6DBE3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7ED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A6270"/>
                <w:sz w:val="15"/>
                <w:szCs w:val="15"/>
              </w:rPr>
              <w:t xml:space="preserve">JAVASCRIPT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// Contexte d'évaluation : identité + attributs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const ctx =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userId: user.id,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attributes: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country: user.country,       // "FR"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plan: user.plan,             // "premium"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betaOptIn: user.betaOptIn,   // true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if (flags.getBooleanValue("nouvel-export-csv", false, ctx))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return exportCsvV2(data);    // nouveau chemin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return exportCsvV1(data);        // chemin actuel</w:t>
            </w:r>
          </w:p>
        </w:tc>
      </w:tr>
    </w:tbl>
    <w:tbl>
      <w:tblPr>
        <w:tblW w:type="dxa" w:w="9026"/>
        <w:tblBorders>
          <w:top w:val="none" w:color="FFFFFF" w:sz="0"/>
          <w:left w:val="single" w:color="0E7C7B" w:sz="24"/>
          <w:bottom w:val="none" w:color="FFFFFF" w:sz="0"/>
          <w:right w:val="none" w:color="FFFFFF" w:sz="0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E7C7B" w:sz="24"/>
              <w:bottom w:val="none" w:color="FFFFFF" w:sz="0"/>
              <w:right w:val="none" w:color="FFFFFF" w:sz="0"/>
            </w:tcBorders>
            <w:shd w:fill="E6F5F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E7C7B"/>
                <w:sz w:val="20"/>
                <w:szCs w:val="20"/>
              </w:rPr>
              <w:t xml:space="preserve">✔  </w:t>
            </w:r>
            <w:r>
              <w:rPr>
                <w:b/>
                <w:bCs/>
                <w:color w:val="0E7C7B"/>
                <w:sz w:val="18"/>
                <w:szCs w:val="18"/>
              </w:rPr>
              <w:t xml:space="preserve">TOUJOURS UNE VALEUR PAR DÉFAUT</w:t>
            </w:r>
          </w:p>
          <w:p>
            <w:pPr>
              <w:spacing w:after="0" w:line="264"/>
            </w:pPr>
            <w:r>
              <w:t xml:space="preserve">Chaque évaluation porte une </w:t>
            </w:r>
            <w:r>
              <w:rPr>
                <w:b/>
                <w:bCs/>
              </w:rPr>
              <w:t xml:space="preserve">valeur par défaut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0E7C7B"/>
                <w:sz w:val="19"/>
                <w:szCs w:val="19"/>
                <w:shd w:fill="F4F6F8" w:val="clear"/>
              </w:rPr>
              <w:t xml:space="preserve">false</w:t>
            </w:r>
            <w:r>
              <w:t xml:space="preserve"> ci-dessus). Si le service de flags est injoignable, l’application doit </w:t>
            </w:r>
            <w:r>
              <w:rPr>
                <w:b/>
                <w:bCs/>
              </w:rPr>
              <w:t xml:space="preserve">continuer à fonctionner</w:t>
            </w:r>
            <w:r>
              <w:t xml:space="preserve"> sur cette valeur sûre — jamais planter. Le flag est une optimisation de pilotage, pas un point de défaillance unique.</w:t>
            </w:r>
          </w:p>
        </w:tc>
      </w:tr>
    </w:tbl>
    <w:p>
      <w:pPr>
        <w:pStyle w:val="Heading2"/>
      </w:pPr>
      <w:r>
        <w:t xml:space="preserve">3.2 OpenFeature : l’abstraction standard</w:t>
      </w:r>
    </w:p>
    <w:p>
      <w:pPr>
        <w:spacing w:after="120" w:line="276"/>
      </w:pPr>
      <w:r>
        <w:rPr>
          <w:b/>
          <w:bCs/>
        </w:rPr>
        <w:t xml:space="preserve">OpenFeature</w:t>
      </w:r>
      <w:r>
        <w:t xml:space="preserve"> (standard CNCF) découple ton code du fournisseur de flags. Tu codes contre une API neutre, et tu branches le </w:t>
      </w:r>
      <w:r>
        <w:rPr>
          <w:i/>
          <w:iCs/>
        </w:rPr>
        <w:t xml:space="preserve">provider</w:t>
      </w:r>
      <w:r>
        <w:t xml:space="preserve"> de ton choix (Unleash, Flagsmith, LaunchDarkly, GO Feature Flag…) sans réécrire l’application.</w:t>
      </w:r>
    </w:p>
    <w:tbl>
      <w:tblPr>
        <w:tblW w:type="dxa" w:w="9026"/>
        <w:tblBorders>
          <w:top w:val="single" w:color="D6DBE3" w:sz="2"/>
          <w:left w:val="single" w:color="0E7C7B" w:sz="18"/>
          <w:bottom w:val="single" w:color="D6DBE3" w:sz="2"/>
          <w:right w:val="single" w:color="D6DBE3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7ED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A6270"/>
                <w:sz w:val="15"/>
                <w:szCs w:val="15"/>
              </w:rPr>
              <w:t xml:space="preserve">JAVASCRIPT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import { OpenFeature } from "@openfeature/server-sdk";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OpenFeature.setProvider(new MyFlagProvider());     // un seul point de couplage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const client = OpenFeature.getClient();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const showV2 = await client.getBooleanValue("nouvel-export-csv", false, ctx);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Le déploiement progressif</w:t>
      </w:r>
    </w:p>
    <w:p>
      <w:pPr>
        <w:spacing w:after="160" w:line="288"/>
      </w:pPr>
      <w:r>
        <w:rPr>
          <w:i/>
          <w:iCs/>
          <w:color w:val="4A5160"/>
          <w:sz w:val="22"/>
          <w:szCs w:val="22"/>
        </w:rPr>
        <w:t xml:space="preserve">Le flag devient un levier de *progressive delivery* : on n’active pas pour tout le monde d’un coup, on **élargit progressivement** l’audience en surveillant les métriques.</w:t>
      </w:r>
    </w:p>
    <w:p>
      <w:pPr>
        <w:pStyle w:val="Heading2"/>
      </w:pPr>
      <w:r>
        <w:t xml:space="preserve">4.1 Les stratégies de ciblage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826"/>
        <w:gridCol w:w="3300"/>
      </w:tblGrid>
      <w:tr>
        <w:trPr>
          <w:tblHeader/>
        </w:trPr>
        <w:tc>
          <w:tcPr>
            <w:tcW w:type="dxa" w:w="19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1F3A9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Stratégie</w:t>
            </w:r>
          </w:p>
        </w:tc>
        <w:tc>
          <w:tcPr>
            <w:tcW w:type="dxa" w:w="38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1F3A9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Principe</w:t>
            </w:r>
          </w:p>
        </w:tc>
        <w:tc>
          <w:tcPr>
            <w:tcW w:type="dxa" w:w="33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1F3A9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19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Pourcentage</w:t>
            </w:r>
          </w:p>
        </w:tc>
        <w:tc>
          <w:tcPr>
            <w:tcW w:type="dxa" w:w="38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X % des utilisateurs (hash stable de l’ID)</w:t>
            </w:r>
          </w:p>
        </w:tc>
        <w:tc>
          <w:tcPr>
            <w:tcW w:type="dxa" w:w="33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Canary fonctionnel, montée 1→10→100 %</w:t>
            </w:r>
          </w:p>
        </w:tc>
      </w:tr>
      <w:tr>
        <w:tc>
          <w:tcPr>
            <w:tcW w:type="dxa" w:w="19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Attribut</w:t>
            </w:r>
          </w:p>
        </w:tc>
        <w:tc>
          <w:tcPr>
            <w:tcW w:type="dxa" w:w="38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Cibler </w:t>
            </w:r>
            <w:r>
              <w:rPr>
                <w:rFonts w:ascii="Consolas" w:cs="Consolas" w:eastAsia="Consolas" w:hAnsi="Consolas"/>
                <w:color w:val="0E7C7B"/>
                <w:sz w:val="19"/>
                <w:szCs w:val="19"/>
                <w:shd w:fill="F4F6F8" w:val="clear"/>
              </w:rPr>
              <w:t xml:space="preserve">country=FR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E7C7B"/>
                <w:sz w:val="19"/>
                <w:szCs w:val="19"/>
                <w:shd w:fill="F4F6F8" w:val="clear"/>
              </w:rPr>
              <w:t xml:space="preserve">plan=premium</w:t>
            </w:r>
            <w:r>
              <w:t xml:space="preserve">…</w:t>
            </w:r>
          </w:p>
        </w:tc>
        <w:tc>
          <w:tcPr>
            <w:tcW w:type="dxa" w:w="33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Permission, déploiement géographique</w:t>
            </w:r>
          </w:p>
        </w:tc>
      </w:tr>
      <w:tr>
        <w:tc>
          <w:tcPr>
            <w:tcW w:type="dxa" w:w="19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Liste / segment</w:t>
            </w:r>
          </w:p>
        </w:tc>
        <w:tc>
          <w:tcPr>
            <w:tcW w:type="dxa" w:w="38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Cibler des utilisateurs/équipes nommés</w:t>
            </w:r>
          </w:p>
        </w:tc>
        <w:tc>
          <w:tcPr>
            <w:tcW w:type="dxa" w:w="33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Beta interne, dogfooding</w:t>
            </w:r>
          </w:p>
        </w:tc>
      </w:tr>
      <w:tr>
        <w:tc>
          <w:tcPr>
            <w:tcW w:type="dxa" w:w="19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Rings</w:t>
            </w:r>
          </w:p>
        </w:tc>
        <w:tc>
          <w:tcPr>
            <w:tcW w:type="dxa" w:w="38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Cercles concentriques : interne → beta → tous</w:t>
            </w:r>
          </w:p>
        </w:tc>
        <w:tc>
          <w:tcPr>
            <w:tcW w:type="dxa" w:w="33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Déploiement organisationnel par paliers</w:t>
            </w:r>
          </w:p>
        </w:tc>
      </w:tr>
    </w:tbl>
    <w:tbl>
      <w:tblPr>
        <w:tblW w:type="dxa" w:w="9026"/>
        <w:tblBorders>
          <w:top w:val="none" w:color="FFFFFF" w:sz="0"/>
          <w:left w:val="single" w:color="0E7C7B" w:sz="24"/>
          <w:bottom w:val="none" w:color="FFFFFF" w:sz="0"/>
          <w:right w:val="none" w:color="FFFFFF" w:sz="0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E7C7B" w:sz="24"/>
              <w:bottom w:val="none" w:color="FFFFFF" w:sz="0"/>
              <w:right w:val="none" w:color="FFFFFF" w:sz="0"/>
            </w:tcBorders>
            <w:shd w:fill="E6F5F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E7C7B"/>
                <w:sz w:val="20"/>
                <w:szCs w:val="20"/>
              </w:rPr>
              <w:t xml:space="preserve">✔  </w:t>
            </w:r>
            <w:r>
              <w:rPr>
                <w:b/>
                <w:bCs/>
                <w:color w:val="0E7C7B"/>
                <w:sz w:val="18"/>
                <w:szCs w:val="18"/>
              </w:rPr>
              <w:t xml:space="preserve">LE HASH STABLE</w:t>
            </w:r>
          </w:p>
          <w:p>
            <w:pPr>
              <w:spacing w:after="0" w:line="264"/>
            </w:pPr>
            <w:r>
              <w:t xml:space="preserve">Pour un </w:t>
            </w:r>
            <w:r>
              <w:rPr>
                <w:i/>
                <w:iCs/>
              </w:rPr>
              <w:t xml:space="preserve">rollout</w:t>
            </w:r>
            <w:r>
              <w:t xml:space="preserve"> à X %, on hashe l’identifiant utilisateur de façon </w:t>
            </w:r>
            <w:r>
              <w:rPr>
                <w:b/>
                <w:bCs/>
              </w:rPr>
              <w:t xml:space="preserve">stable</w:t>
            </w:r>
            <w:r>
              <w:t xml:space="preserve"> : un même utilisateur reste toujours du même côté du flag tant que le pourcentage ne change pas. Sans cela, l’expérience « clignote » (activée puis désactivée à chaque requête), ce qui est désastreux pour l’UX et fausse les mesures.</w:t>
            </w:r>
          </w:p>
        </w:tc>
      </w:tr>
    </w:tbl>
    <w:p>
      <w:pPr>
        <w:pStyle w:val="Heading2"/>
      </w:pPr>
      <w:r>
        <w:t xml:space="preserve">4.2 Canary et blue/green vs feature flag</w:t>
      </w:r>
    </w:p>
    <w:p>
      <w:pPr>
        <w:spacing w:after="120" w:line="276"/>
      </w:pPr>
      <w:r>
        <w:t xml:space="preserve">Trois leviers complémentaires, agissant à des niveaux différents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626"/>
        <w:gridCol w:w="2300"/>
      </w:tblGrid>
      <w:tr>
        <w:trPr>
          <w:tblHeader/>
        </w:trPr>
        <w:tc>
          <w:tcPr>
            <w:tcW w:type="dxa" w:w="21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1F3A9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Technique</w:t>
            </w:r>
          </w:p>
        </w:tc>
        <w:tc>
          <w:tcPr>
            <w:tcW w:type="dxa" w:w="46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1F3A9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Agit sur</w:t>
            </w:r>
          </w:p>
        </w:tc>
        <w:tc>
          <w:tcPr>
            <w:tcW w:type="dxa" w:w="23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1F3A9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Granularité</w:t>
            </w:r>
          </w:p>
        </w:tc>
      </w:tr>
      <w:tr>
        <w:tc>
          <w:tcPr>
            <w:tcW w:type="dxa" w:w="21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Blue/Green</w:t>
            </w:r>
          </w:p>
        </w:tc>
        <w:tc>
          <w:tcPr>
            <w:tcW w:type="dxa" w:w="46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L’infrastructure : deux environnements, bascule du trafic</w:t>
            </w:r>
          </w:p>
        </w:tc>
        <w:tc>
          <w:tcPr>
            <w:tcW w:type="dxa" w:w="23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Tout ou rien (version entière)</w:t>
            </w:r>
          </w:p>
        </w:tc>
      </w:tr>
      <w:tr>
        <w:tc>
          <w:tcPr>
            <w:tcW w:type="dxa" w:w="21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Canary</w:t>
            </w:r>
          </w:p>
        </w:tc>
        <w:tc>
          <w:tcPr>
            <w:tcW w:type="dxa" w:w="46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Le trafic réseau : X % vers la nouvelle version</w:t>
            </w:r>
          </w:p>
        </w:tc>
        <w:tc>
          <w:tcPr>
            <w:tcW w:type="dxa" w:w="23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Par version déployée</w:t>
            </w:r>
          </w:p>
        </w:tc>
      </w:tr>
      <w:tr>
        <w:tc>
          <w:tcPr>
            <w:tcW w:type="dxa" w:w="21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Feature Flag</w:t>
            </w:r>
          </w:p>
        </w:tc>
        <w:tc>
          <w:tcPr>
            <w:tcW w:type="dxa" w:w="4626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Le code applicatif : activer un comportement</w:t>
            </w:r>
          </w:p>
        </w:tc>
        <w:tc>
          <w:tcPr>
            <w:tcW w:type="dxa" w:w="23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Par fonctionnalité </w:t>
            </w:r>
            <w:r>
              <w:rPr>
                <w:b/>
                <w:bCs/>
              </w:rPr>
              <w:t xml:space="preserve">et</w:t>
            </w:r>
            <w:r>
              <w:t xml:space="preserve"> par utilisateur</w:t>
            </w:r>
          </w:p>
        </w:tc>
      </w:tr>
    </w:tbl>
    <w:p>
      <w:pPr>
        <w:spacing w:after="120" w:line="276"/>
      </w:pPr>
      <w:r>
        <w:t xml:space="preserve">Canary et blue/green (gérés par Argo Rollouts / Flagger au module 06) basculent </w:t>
      </w:r>
      <w:r>
        <w:rPr>
          <w:b/>
          <w:bCs/>
        </w:rPr>
        <w:t xml:space="preserve">du trafic vers une version</w:t>
      </w:r>
      <w:r>
        <w:t xml:space="preserve">. Le feature flag, lui, active </w:t>
      </w:r>
      <w:r>
        <w:rPr>
          <w:b/>
          <w:bCs/>
        </w:rPr>
        <w:t xml:space="preserve">une fonctionnalité précise pour un segment précis</w:t>
      </w:r>
      <w:r>
        <w:t xml:space="preserve">, indépendamment de la version déployée. On peut faire un canary d’une version qui contient dix flags, chacun activé pour une audience différente.</w:t>
      </w:r>
    </w:p>
    <w:p>
      <w:pPr>
        <w:pStyle w:val="Heading2"/>
      </w:pPr>
      <w:r>
        <w:t xml:space="preserve">4.3 Une montée en charge type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Déployer la version avec le flag à </w:t>
      </w:r>
      <w:r>
        <w:rPr>
          <w:rFonts w:ascii="Consolas" w:cs="Consolas" w:eastAsia="Consolas" w:hAnsi="Consolas"/>
          <w:color w:val="0E7C7B"/>
          <w:sz w:val="19"/>
          <w:szCs w:val="19"/>
          <w:shd w:fill="F4F6F8" w:val="clear"/>
        </w:rPr>
        <w:t xml:space="preserve">off</w:t>
      </w:r>
      <w:r>
        <w:t xml:space="preserve">. Vérifier : aucun changement visible.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Activer pour l’équipe interne (segment). Récolter les retours, corriger.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Activer à 1 % des utilisateurs. Surveiller erreurs, latence, métriques métier.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Élargir 1 % → 10 % → 50 % → 100 % par paliers, en observant à chaque palier.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À 100 % stable : </w:t>
      </w:r>
      <w:r>
        <w:rPr>
          <w:b/>
          <w:bCs/>
        </w:rPr>
        <w:t xml:space="preserve">retirer le flag</w:t>
      </w:r>
      <w:r>
        <w:t xml:space="preserve"> du code et de la config (nettoyage).</w:t>
      </w:r>
    </w:p>
    <w:p>
      <w:r>
        <w:br w:type="page"/>
      </w:r>
    </w:p>
    <w:p>
      <w:pPr>
        <w:pStyle w:val="Heading1"/>
      </w:pPr>
      <w:r>
        <w:t xml:space="preserve">5. Le kill switch (flag d’Ops)</w:t>
      </w:r>
    </w:p>
    <w:p>
      <w:pPr>
        <w:spacing w:after="120" w:line="276"/>
      </w:pPr>
      <w:r>
        <w:t xml:space="preserve">Le flag d’opération est un </w:t>
      </w:r>
      <w:r>
        <w:rPr>
          <w:b/>
          <w:bCs/>
        </w:rPr>
        <w:t xml:space="preserve">disjoncteur</w:t>
      </w:r>
      <w:r>
        <w:t xml:space="preserve">. Une fonctionnalité gourmande (un export massif, une recommandation coûteuse) peut être coupée instantanément en cas de pic de charge ou d’incident d’un service tiers, sans déploiement.</w:t>
      </w:r>
    </w:p>
    <w:tbl>
      <w:tblPr>
        <w:tblW w:type="dxa" w:w="9026"/>
        <w:tblBorders>
          <w:top w:val="single" w:color="D6DBE3" w:sz="2"/>
          <w:left w:val="single" w:color="0E7C7B" w:sz="18"/>
          <w:bottom w:val="single" w:color="D6DBE3" w:sz="2"/>
          <w:right w:val="single" w:color="D6DBE3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7ED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A6270"/>
                <w:sz w:val="15"/>
                <w:szCs w:val="15"/>
              </w:rPr>
              <w:t xml:space="preserve">JAVASCRIPT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// Kill switch couplé à une dégradation gracieuse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if (!flags.getBooleanValue("reco-engine-enabled", true, ctx))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    return staticFallbackRecommendations();   // dégrade au lieu de tomber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F2B"/>
                <w:sz w:val="18"/>
                <w:szCs w:val="18"/>
              </w:rPr>
              <w:t xml:space="preserve">return mlRecommendationEngine(ctx);</w:t>
            </w:r>
          </w:p>
        </w:tc>
      </w:tr>
    </w:tbl>
    <w:tbl>
      <w:tblPr>
        <w:tblW w:type="dxa" w:w="9026"/>
        <w:tblBorders>
          <w:top w:val="none" w:color="FFFFFF" w:sz="0"/>
          <w:left w:val="single" w:color="B3261E" w:sz="24"/>
          <w:bottom w:val="none" w:color="FFFFFF" w:sz="0"/>
          <w:right w:val="none" w:color="FFFFFF" w:sz="0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B3261E" w:sz="24"/>
              <w:bottom w:val="none" w:color="FFFFFF" w:sz="0"/>
              <w:right w:val="none" w:color="FFFFFF" w:sz="0"/>
            </w:tcBorders>
            <w:shd w:fill="FBE9E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3261E"/>
                <w:sz w:val="20"/>
                <w:szCs w:val="20"/>
              </w:rPr>
              <w:t xml:space="preserve">✖  </w:t>
            </w:r>
            <w:r>
              <w:rPr>
                <w:b/>
                <w:bCs/>
                <w:color w:val="B3261E"/>
                <w:sz w:val="18"/>
                <w:szCs w:val="18"/>
              </w:rPr>
              <w:t xml:space="preserve">LE KILL SWITCH DOIT ÊTRE ULTRA-FIABLE</w:t>
            </w:r>
          </w:p>
          <w:p>
            <w:pPr>
              <w:spacing w:after="0" w:line="264"/>
            </w:pPr>
            <w:r>
              <w:t xml:space="preserve">Un kill switch qui dépend d’un service de flags lui-même en panne ne sert à rien au pire moment. Pour les flags d’Ops critiques, prévois un cache local rafraîchi et une valeur par défaut </w:t>
            </w:r>
            <w:r>
              <w:rPr>
                <w:b/>
                <w:bCs/>
              </w:rPr>
              <w:t xml:space="preserve">sûre</w:t>
            </w:r>
            <w:r>
              <w:t xml:space="preserve"> : si tout échoue, l’application reste dans un état dégradé mais stable.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La dette de flags</w:t>
      </w:r>
    </w:p>
    <w:p>
      <w:pPr>
        <w:spacing w:after="160" w:line="288"/>
      </w:pPr>
      <w:r>
        <w:rPr>
          <w:i/>
          <w:iCs/>
          <w:color w:val="4A5160"/>
          <w:sz w:val="22"/>
          <w:szCs w:val="22"/>
        </w:rPr>
        <w:t xml:space="preserve">Le revers de la médaille : chaque flag est un `if` de plus, donc une branche logique à tester et à comprendre. Les flags morts (toujours à 100 % mais jamais retirés) transforment le code en labyrinthe.</w:t>
      </w:r>
    </w:p>
    <w:p>
      <w:pPr>
        <w:pStyle w:val="Heading3"/>
      </w:pPr>
      <w:r>
        <w:t xml:space="preserve">6.1 Symptômes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Des flags activés à 100 % depuis des mois, jamais nettoyés.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Des combinaisons de flags que personne n’ose tester ni désactiver.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Du code mort sous des flags </w:t>
      </w:r>
      <w:r>
        <w:rPr>
          <w:rFonts w:ascii="Consolas" w:cs="Consolas" w:eastAsia="Consolas" w:hAnsi="Consolas"/>
          <w:color w:val="0E7C7B"/>
          <w:sz w:val="19"/>
          <w:szCs w:val="19"/>
          <w:shd w:fill="F4F6F8" w:val="clear"/>
        </w:rPr>
        <w:t xml:space="preserve">off</w:t>
      </w:r>
      <w:r>
        <w:t xml:space="preserve"> oubliés.</w:t>
      </w:r>
    </w:p>
    <w:p>
      <w:pPr>
        <w:pStyle w:val="Heading3"/>
      </w:pPr>
      <w:r>
        <w:t xml:space="preserve">6.2 Discipline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Date d’expiration</w:t>
      </w:r>
      <w:r>
        <w:t xml:space="preserve"> : tout flag de release naît avec une échéance de retrait.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Propriétaire</w:t>
      </w:r>
      <w:r>
        <w:t xml:space="preserve"> : chaque flag a un responsable identifié.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Ticket de nettoyage</w:t>
      </w:r>
      <w:r>
        <w:t xml:space="preserve"> créé en même temps que le flag, dès sa mise à 100 %.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Audit régulier</w:t>
      </w:r>
      <w:r>
        <w:t xml:space="preserve"> : lister les flags, leur âge, leur état ; alerter sur les périmés.</w:t>
      </w:r>
    </w:p>
    <w:tbl>
      <w:tblPr>
        <w:tblW w:type="dxa" w:w="9026"/>
        <w:tblBorders>
          <w:top w:val="none" w:color="FFFFFF" w:sz="0"/>
          <w:left w:val="single" w:color="0E7C7B" w:sz="24"/>
          <w:bottom w:val="none" w:color="FFFFFF" w:sz="0"/>
          <w:right w:val="none" w:color="FFFFFF" w:sz="0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E7C7B" w:sz="24"/>
              <w:bottom w:val="none" w:color="FFFFFF" w:sz="0"/>
              <w:right w:val="none" w:color="FFFFFF" w:sz="0"/>
            </w:tcBorders>
            <w:shd w:fill="E6F5F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E7C7B"/>
                <w:sz w:val="20"/>
                <w:szCs w:val="20"/>
              </w:rPr>
              <w:t xml:space="preserve">✔  </w:t>
            </w:r>
            <w:r>
              <w:rPr>
                <w:b/>
                <w:bCs/>
                <w:color w:val="0E7C7B"/>
                <w:sz w:val="18"/>
                <w:szCs w:val="18"/>
              </w:rPr>
              <w:t xml:space="preserve">UN FLAG DE RELEASE EST UN EMPRUNT</w:t>
            </w:r>
          </w:p>
          <w:p>
            <w:pPr>
              <w:spacing w:after="0" w:line="264"/>
            </w:pPr>
            <w:r>
              <w:t xml:space="preserve">Tu empruntes de la vélocité (livrer tôt, sans risque) contre une dette (un </w:t>
            </w:r>
            <w:r>
              <w:rPr>
                <w:rFonts w:ascii="Consolas" w:cs="Consolas" w:eastAsia="Consolas" w:hAnsi="Consolas"/>
                <w:color w:val="0E7C7B"/>
                <w:sz w:val="19"/>
                <w:szCs w:val="19"/>
                <w:shd w:fill="F4F6F8" w:val="clear"/>
              </w:rPr>
              <w:t xml:space="preserve">if</w:t>
            </w:r>
            <w:r>
              <w:t xml:space="preserve"> à rembourser). Un emprunt sain se rembourse vite. Le flag de release </w:t>
            </w:r>
            <w:r>
              <w:rPr>
                <w:b/>
                <w:bCs/>
              </w:rPr>
              <w:t xml:space="preserve">doit</w:t>
            </w:r>
            <w:r>
              <w:t xml:space="preserve"> être retiré une fois la fonctionnalité stabilisée à 100 % ; sinon l’intérêt s’accumule sous forme de complexité.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Architecture et gouvernance</w:t>
      </w:r>
    </w:p>
    <w:p>
      <w:pPr>
        <w:pStyle w:val="Heading2"/>
      </w:pPr>
      <w:r>
        <w:t xml:space="preserve">7.1 Où stocker l’état des flags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263"/>
        <w:gridCol w:w="2863"/>
      </w:tblGrid>
      <w:tr>
        <w:trPr>
          <w:tblHeader/>
        </w:trPr>
        <w:tc>
          <w:tcPr>
            <w:tcW w:type="dxa" w:w="29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1F3A9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W w:type="dxa" w:w="3263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1F3A9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Avantage</w:t>
            </w:r>
          </w:p>
        </w:tc>
        <w:tc>
          <w:tcPr>
            <w:tcW w:type="dxa" w:w="2863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1F3A9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Limite</w:t>
            </w:r>
          </w:p>
        </w:tc>
      </w:tr>
      <w:tr>
        <w:tc>
          <w:tcPr>
            <w:tcW w:type="dxa" w:w="29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Service dédié (Unleash, Flagsmith…)</w:t>
            </w:r>
          </w:p>
        </w:tc>
        <w:tc>
          <w:tcPr>
            <w:tcW w:type="dxa" w:w="3263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Ciblage riche, UI, audit, SDK</w:t>
            </w:r>
          </w:p>
        </w:tc>
        <w:tc>
          <w:tcPr>
            <w:tcW w:type="dxa" w:w="2863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Une dépendance de plus à exploiter</w:t>
            </w:r>
          </w:p>
        </w:tc>
      </w:tr>
      <w:tr>
        <w:tc>
          <w:tcPr>
            <w:tcW w:type="dxa" w:w="29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Config GitOps</w:t>
            </w:r>
          </w:p>
        </w:tc>
        <w:tc>
          <w:tcPr>
            <w:tcW w:type="dxa" w:w="3263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Versionné, auditable, réconcilié</w:t>
            </w:r>
          </w:p>
        </w:tc>
        <w:tc>
          <w:tcPr>
            <w:tcW w:type="dxa" w:w="2863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Changement = commit (moins instantané)</w:t>
            </w:r>
          </w:p>
        </w:tc>
      </w:tr>
      <w:tr>
        <w:tc>
          <w:tcPr>
            <w:tcW w:type="dxa" w:w="2900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Base / cache distribué</w:t>
            </w:r>
          </w:p>
        </w:tc>
        <w:tc>
          <w:tcPr>
            <w:tcW w:type="dxa" w:w="3263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Simple, très rapide</w:t>
            </w:r>
          </w:p>
        </w:tc>
        <w:tc>
          <w:tcPr>
            <w:tcW w:type="dxa" w:w="2863"/>
            <w:tcBorders>
              <w:top w:val="single" w:color="D6DBE3" w:sz="2"/>
              <w:left w:val="single" w:color="D6DBE3" w:sz="2"/>
              <w:bottom w:val="single" w:color="D6DBE3" w:sz="2"/>
              <w:right w:val="single" w:color="D6DBE3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</w:pPr>
            <w:r>
              <w:t xml:space="preserve">Pas de ciblage/UI sans dev maison</w:t>
            </w:r>
          </w:p>
        </w:tc>
      </w:tr>
    </w:tbl>
    <w:tbl>
      <w:tblPr>
        <w:tblW w:type="dxa" w:w="9026"/>
        <w:tblBorders>
          <w:top w:val="none" w:color="FFFFFF" w:sz="0"/>
          <w:left w:val="single" w:color="C26A12" w:sz="24"/>
          <w:bottom w:val="none" w:color="FFFFFF" w:sz="0"/>
          <w:right w:val="none" w:color="FFFFFF" w:sz="0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26A12" w:sz="24"/>
              <w:bottom w:val="none" w:color="FFFFFF" w:sz="0"/>
              <w:right w:val="none" w:color="FFFFFF" w:sz="0"/>
            </w:tcBorders>
            <w:shd w:fill="FDF1E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26A12"/>
                <w:sz w:val="20"/>
                <w:szCs w:val="20"/>
              </w:rPr>
              <w:t xml:space="preserve">⚠  </w:t>
            </w:r>
            <w:r>
              <w:rPr>
                <w:b/>
                <w:bCs/>
                <w:color w:val="C26A12"/>
                <w:sz w:val="18"/>
                <w:szCs w:val="18"/>
              </w:rPr>
              <w:t xml:space="preserve">FLAGS ET GITOPS : TENSION À ARBITRER</w:t>
            </w:r>
          </w:p>
          <w:p>
            <w:pPr>
              <w:spacing w:after="0" w:line="264"/>
            </w:pPr>
            <w:r>
              <w:t xml:space="preserve">Mettre les flags dans Git (GitOps) donne l’audit et la réconciliation, mais un kill switch « par commit » est plus lent qu’un toggle d’UI. Compromis fréquent : les flags de </w:t>
            </w:r>
            <w:r>
              <w:rPr>
                <w:b/>
                <w:bCs/>
              </w:rPr>
              <w:t xml:space="preserve">release</w:t>
            </w:r>
            <w:r>
              <w:t xml:space="preserve"> en GitOps (changements planifiés), les flags d’</w:t>
            </w:r>
            <w:r>
              <w:rPr>
                <w:b/>
                <w:bCs/>
              </w:rPr>
              <w:t xml:space="preserve">Ops</w:t>
            </w:r>
            <w:r>
              <w:t xml:space="preserve"> dans un service à bascule </w:t>
            </w:r>
            <w:r>
              <w:rPr>
                <w:b/>
                <w:bCs/>
              </w:rPr>
              <w:t xml:space="preserve">instantanée</w:t>
            </w:r>
            <w:r>
              <w:t xml:space="preserve">.</w:t>
            </w:r>
          </w:p>
        </w:tc>
      </w:tr>
    </w:tbl>
    <w:p>
      <w:pPr>
        <w:pStyle w:val="Heading2"/>
      </w:pPr>
      <w:r>
        <w:t xml:space="preserve">7.2 Audit et traçabilité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Qui</w:t>
      </w:r>
      <w:r>
        <w:t xml:space="preserve"> a changé </w:t>
      </w:r>
      <w:r>
        <w:rPr>
          <w:b/>
          <w:bCs/>
        </w:rPr>
        <w:t xml:space="preserve">quel</w:t>
      </w:r>
      <w:r>
        <w:t xml:space="preserve"> flag, </w:t>
      </w:r>
      <w:r>
        <w:rPr>
          <w:b/>
          <w:bCs/>
        </w:rPr>
        <w:t xml:space="preserve">quand</w:t>
      </w:r>
      <w:r>
        <w:t xml:space="preserve">, et </w:t>
      </w:r>
      <w:r>
        <w:rPr>
          <w:b/>
          <w:bCs/>
        </w:rPr>
        <w:t xml:space="preserve">pour quelle audience</w:t>
      </w:r>
      <w:r>
        <w:t xml:space="preserve"> : indispensable en environnement régulé.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Historique des évaluations agrégées : utile pour corréler un incident à une activation.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Health score d’un flag : taux d’erreur observé quand il est </w:t>
      </w:r>
      <w:r>
        <w:rPr>
          <w:rFonts w:ascii="Consolas" w:cs="Consolas" w:eastAsia="Consolas" w:hAnsi="Consolas"/>
          <w:color w:val="0E7C7B"/>
          <w:sz w:val="19"/>
          <w:szCs w:val="19"/>
          <w:shd w:fill="F4F6F8" w:val="clear"/>
        </w:rPr>
        <w:t xml:space="preserve">on</w:t>
      </w:r>
      <w:r>
        <w:t xml:space="preserve"> vs </w:t>
      </w:r>
      <w:r>
        <w:rPr>
          <w:rFonts w:ascii="Consolas" w:cs="Consolas" w:eastAsia="Consolas" w:hAnsi="Consolas"/>
          <w:color w:val="0E7C7B"/>
          <w:sz w:val="19"/>
          <w:szCs w:val="19"/>
          <w:shd w:fill="F4F6F8" w:val="clear"/>
        </w:rPr>
        <w:t xml:space="preserve">off</w:t>
      </w:r>
      <w:r>
        <w:t xml:space="preserve">.</w:t>
      </w:r>
    </w:p>
    <w:p>
      <w:pPr>
        <w:pBdr>
          <w:bottom w:val="single" w:color="D6DBE3" w:sz="6" w:space="2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À retenir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Le flag </w:t>
      </w:r>
      <w:r>
        <w:rPr>
          <w:b/>
          <w:bCs/>
        </w:rPr>
        <w:t xml:space="preserve">découple déploiement et activation</w:t>
      </w:r>
      <w:r>
        <w:t xml:space="preserve"> : on livre tôt et désactivé, on active progressivement.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C’est le levier qui rend le </w:t>
      </w:r>
      <w:r>
        <w:rPr>
          <w:b/>
          <w:bCs/>
        </w:rPr>
        <w:t xml:space="preserve">Trunk-Based</w:t>
      </w:r>
      <w:r>
        <w:t xml:space="preserve"> viable et qui fait chuter </w:t>
      </w:r>
      <w:r>
        <w:rPr>
          <w:b/>
          <w:bCs/>
        </w:rPr>
        <w:t xml:space="preserve">CFR</w:t>
      </w:r>
      <w:r>
        <w:t xml:space="preserve"> et </w:t>
      </w:r>
      <w:r>
        <w:rPr>
          <w:b/>
          <w:bCs/>
        </w:rPr>
        <w:t xml:space="preserve">MTTR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Quatre types (release, experiment, ops, permission) aux </w:t>
      </w:r>
      <w:r>
        <w:rPr>
          <w:b/>
          <w:bCs/>
        </w:rPr>
        <w:t xml:space="preserve">durées de vie différentes</w:t>
      </w:r>
      <w:r>
        <w:t xml:space="preserve"> — ne pas les confondre.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Toujours une </w:t>
      </w:r>
      <w:r>
        <w:rPr>
          <w:b/>
          <w:bCs/>
        </w:rPr>
        <w:t xml:space="preserve">valeur par défaut sûre</w:t>
      </w:r>
      <w:r>
        <w:t xml:space="preserve"> ; standardiser via </w:t>
      </w:r>
      <w:r>
        <w:rPr>
          <w:b/>
          <w:bCs/>
        </w:rPr>
        <w:t xml:space="preserve">OpenFeature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Canary/blue-green agissent sur le </w:t>
      </w:r>
      <w:r>
        <w:rPr>
          <w:b/>
          <w:bCs/>
        </w:rPr>
        <w:t xml:space="preserve">trafic/version</w:t>
      </w:r>
      <w:r>
        <w:t xml:space="preserve"> ; le flag sur la </w:t>
      </w:r>
      <w:r>
        <w:rPr>
          <w:b/>
          <w:bCs/>
        </w:rPr>
        <w:t xml:space="preserve">fonctionnalité par segment</w:t>
      </w:r>
      <w:r>
        <w:t xml:space="preserve"> — complémentaires.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Le </w:t>
      </w:r>
      <w:r>
        <w:rPr>
          <w:b/>
          <w:bCs/>
        </w:rPr>
        <w:t xml:space="preserve">kill switch</w:t>
      </w:r>
      <w:r>
        <w:t xml:space="preserve"> doit rester fiable même service de flags en panne (cache + défaut sûr).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Combats la </w:t>
      </w:r>
      <w:r>
        <w:rPr>
          <w:b/>
          <w:bCs/>
        </w:rPr>
        <w:t xml:space="preserve">dette de flags</w:t>
      </w:r>
      <w:r>
        <w:t xml:space="preserve"> : expiration, propriétaire, nettoyage à 100 %.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BE3" w:sz="4" w:space="4"/>
      </w:pBdr>
      <w:tabs>
        <w:tab w:val="right" w:pos="9026"/>
      </w:tabs>
    </w:pPr>
    <w:r>
      <w:rPr>
        <w:color w:val="7A828F"/>
        <w:sz w:val="15"/>
        <w:szCs w:val="15"/>
      </w:rPr>
      <w:t xml:space="preserve">Usage interne — CC BY-SA</w:t>
    </w:r>
    <w:r>
      <w:rPr>
        <w:color w:val="7A828F"/>
        <w:sz w:val="15"/>
        <w:szCs w:val="15"/>
      </w:rPr>
      <w:t xml:space="preserve">	Page </w:t>
    </w:r>
    <w:r>
      <w:rPr>
        <w:color w:val="7A828F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7A828F"/>
        <w:sz w:val="15"/>
        <w:szCs w:val="15"/>
      </w:rPr>
      <w:t xml:space="preserve"> / </w:t>
    </w:r>
    <w:r>
      <w:rPr>
        <w:color w:val="7A828F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BE3" w:sz="4" w:space="4"/>
      </w:pBdr>
      <w:tabs>
        <w:tab w:val="right" w:pos="9026"/>
      </w:tabs>
    </w:pPr>
    <w:r>
      <w:rPr>
        <w:b/>
        <w:bCs/>
        <w:color w:val="1F3A93"/>
        <w:sz w:val="16"/>
        <w:szCs w:val="16"/>
      </w:rPr>
      <w:t xml:space="preserve">Formation DevOps</w:t>
    </w:r>
    <w:r>
      <w:rPr>
        <w:color w:val="7A828F"/>
        <w:sz w:val="16"/>
        <w:szCs w:val="16"/>
      </w:rPr>
      <w:t xml:space="preserve">	Module 07 — Feature Flags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F2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A93" w:sz="8" w:space="6"/>
      </w:pBdr>
      <w:spacing w:after="180" w:before="360"/>
      <w:outlineLvl w:val="0"/>
    </w:pPr>
    <w:rPr>
      <w:rFonts w:ascii="Calibri" w:cs="Calibri" w:eastAsia="Calibri" w:hAnsi="Calibri"/>
      <w:b/>
      <w:bCs/>
      <w:color w:val="1F3A9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Calibri" w:cs="Calibri" w:eastAsia="Calibri" w:hAnsi="Calibri"/>
      <w:b/>
      <w:bCs/>
      <w:color w:val="1F3A9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0E7C7B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Calibri" w:cs="Calibri" w:eastAsia="Calibri" w:hAnsi="Calibri"/>
      <w:b/>
      <w:bCs/>
      <w:i/>
      <w:iCs/>
      <w:color w:val="1A1F2B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Formation DevOps</dc:title>
  <dc:creator>Formation DevOps</dc:creator>
  <cp:lastModifiedBy>Un-named</cp:lastModifiedBy>
  <cp:revision>1</cp:revision>
  <dcterms:created xsi:type="dcterms:W3CDTF">2026-05-27T11:22:32.880Z</dcterms:created>
  <dcterms:modified xsi:type="dcterms:W3CDTF">2026-05-27T11:22:32.880Z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