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sz w:val="48"/>
          <w:szCs w:val="48"/>
        </w:rPr>
        <w:t xml:space="preserve"> </w:t>
      </w:r>
    </w:p>
    <w:p>
      <w:pPr>
        <w:spacing w:after="60"/>
        <w:jc w:val="left"/>
      </w:pPr>
      <w:r>
        <w:rPr>
          <w:b/>
          <w:bCs/>
          <w:color w:val="0E7C7B"/>
          <w:sz w:val="26"/>
          <w:szCs w:val="26"/>
        </w:rPr>
        <w:t xml:space="preserve">FORMATION DEVOPS</w:t>
      </w:r>
    </w:p>
    <w:p>
      <w:pPr>
        <w:pBdr>
          <w:bottom w:val="single" w:color="1F3A93" w:sz="12" w:space="8"/>
        </w:pBdr>
        <w:spacing w:after="200"/>
      </w:pPr>
      <w:r>
        <w:rPr>
          <w:b/>
          <w:bCs/>
          <w:color w:val="1F3A93"/>
          <w:sz w:val="60"/>
          <w:szCs w:val="60"/>
        </w:rPr>
        <w:t xml:space="preserve">MODULE 08</w:t>
      </w:r>
    </w:p>
    <w:p>
      <w:pPr>
        <w:spacing w:after="100"/>
      </w:pPr>
      <w:r>
        <w:rPr>
          <w:b/>
          <w:bCs/>
          <w:color w:val="1A1F2B"/>
          <w:sz w:val="48"/>
          <w:szCs w:val="48"/>
        </w:rPr>
        <w:t xml:space="preserve">Observabilité &amp; SRE</w:t>
      </w:r>
    </w:p>
    <w:p>
      <w:pPr>
        <w:spacing w:after="300"/>
      </w:pPr>
      <w:r>
        <w:rPr>
          <w:i/>
          <w:iCs/>
          <w:color w:val="4A5160"/>
          <w:sz w:val="26"/>
          <w:szCs w:val="26"/>
        </w:rPr>
        <w:t xml:space="preserve">Voir ce qui se passe en prod, fermer la boucle de feedback</w:t>
      </w:r>
    </w:p>
    <w:p>
      <w:pPr>
        <w:spacing w:after="80"/>
      </w:pPr>
      <w:r>
        <w:rPr>
          <w:b/>
          <w:bCs/>
          <w:color w:val="1A1F2B"/>
          <w:sz w:val="22"/>
          <w:szCs w:val="22"/>
        </w:rPr>
        <w:t xml:space="preserve">Niveau : </w:t>
      </w:r>
      <w:r>
        <w:rPr>
          <w:b/>
          <w:bCs/>
          <w:color w:val="0E7C7B"/>
          <w:sz w:val="22"/>
          <w:szCs w:val="22"/>
        </w:rPr>
        <w:t xml:space="preserve">Expert</w:t>
      </w:r>
    </w:p>
    <w:p>
      <w:pPr>
        <w:spacing w:after="300"/>
      </w:pPr>
      <w:r>
        <w:rPr>
          <w:b/>
          <w:bCs/>
          <w:color w:val="1A1F2B"/>
          <w:sz w:val="22"/>
          <w:szCs w:val="22"/>
        </w:rPr>
        <w:t xml:space="preserve">Stack : </w:t>
      </w:r>
      <w:r>
        <w:rPr>
          <w:color w:val="4A5160"/>
          <w:sz w:val="22"/>
          <w:szCs w:val="22"/>
        </w:rPr>
        <w:t xml:space="preserve">SLI/SLO · Error Budget · Logs/Métriques/Traces · Prometheus · OpenTelemetry</w:t>
      </w:r>
    </w:p>
    <w:p>
      <w:pPr>
        <w:spacing w:after="60"/>
      </w:pPr>
      <w:r>
        <w:rPr>
          <w:sz w:val="32"/>
          <w:szCs w:val="32"/>
        </w:rPr>
        <w:t xml:space="preserve"> </w:t>
      </w:r>
    </w:p>
    <w:p>
      <w:r>
        <w:rPr>
          <w:i/>
          <w:iCs/>
          <w:color w:val="7A828F"/>
          <w:sz w:val="18"/>
          <w:szCs w:val="18"/>
        </w:rPr>
        <w:t xml:space="preserve">Parcours complet « de zéro à expert » — GitLab · Kustomize · SonarQube · Vault · Artifactory · ArgoCD · Flux · GCP · Feature Flags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Du monitoring à l’observabilité</w:t>
      </w:r>
    </w:p>
    <w:tbl>
      <w:tblPr>
        <w:tblW w:type="dxa" w:w="9026"/>
        <w:tblBorders>
          <w:top w:val="none" w:color="FFFFFF" w:sz="0"/>
          <w:left w:val="single" w:color="1F3A93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3A93" w:sz="24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93"/>
                <w:sz w:val="20"/>
                <w:szCs w:val="20"/>
              </w:rPr>
              <w:t xml:space="preserve">ℹ  </w:t>
            </w:r>
            <w:r>
              <w:rPr>
                <w:b/>
                <w:bCs/>
                <w:color w:val="1F3A93"/>
                <w:sz w:val="18"/>
                <w:szCs w:val="18"/>
              </w:rPr>
              <w:t xml:space="preserve">OBJECTIFS PÉDAGOGIQUES DE CE MODULE</w:t>
            </w:r>
          </w:p>
          <w:p>
            <w:pPr>
              <w:spacing w:after="60" w:line="264"/>
            </w:pPr>
            <w:r>
              <w:t xml:space="preserve">Distinguer monitoring et observabilité, et maîtriser les 3 piliers.</w:t>
            </w:r>
          </w:p>
          <w:p>
            <w:pPr>
              <w:spacing w:after="60" w:line="264"/>
            </w:pPr>
            <w:r>
              <w:t xml:space="preserve">Définir des SLI/SLO et piloter par error budget.</w:t>
            </w:r>
          </w:p>
          <w:p>
            <w:pPr>
              <w:spacing w:after="60" w:line="264"/>
            </w:pPr>
            <w:r>
              <w:t xml:space="preserve">Instrumenter avec OpenTelemetry, collecter avec Prometheus.</w:t>
            </w:r>
          </w:p>
          <w:p>
            <w:pPr>
              <w:spacing w:after="0" w:line="264"/>
            </w:pPr>
            <w:r>
              <w:t xml:space="preserve">Pratiquer le post-mortem blameless et fermer la boucle vers le code.</w:t>
            </w:r>
          </w:p>
        </w:tc>
      </w:tr>
    </w:tbl>
    <w:p>
      <w:pPr>
        <w:spacing w:after="160" w:line="288"/>
      </w:pPr>
      <w:r>
        <w:rPr>
          <w:i/>
          <w:iCs/>
          <w:color w:val="4A5160"/>
          <w:sz w:val="22"/>
          <w:szCs w:val="22"/>
        </w:rPr>
        <w:t xml:space="preserve">Le monitoring répond à des questions que tu as anticipées (« le CPU dépasse-t-il 80 % ? »). L’observabilité te permet de poser des questions que tu n’avais pas prévues, à partir de signaux suffisamment riches : c’est la capacité à comprendre l’état interne d’un système depuis ses sorties.</w:t>
      </w:r>
    </w:p>
    <w:p>
      <w:pPr>
        <w:pStyle w:val="Heading2"/>
      </w:pPr>
      <w:r>
        <w:t xml:space="preserve">1.1 Les trois piliers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rPr>
          <w:tblHeader/>
        </w:trPr>
        <w:tc>
          <w:tcPr>
            <w:tcW w:type="dxa" w:w="18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Pilier</w:t>
            </w:r>
          </w:p>
        </w:tc>
        <w:tc>
          <w:tcPr>
            <w:tcW w:type="dxa" w:w="42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Répond à</w:t>
            </w:r>
          </w:p>
        </w:tc>
        <w:tc>
          <w:tcPr>
            <w:tcW w:type="dxa" w:w="3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c>
          <w:tcPr>
            <w:tcW w:type="dxa" w:w="18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Métriques</w:t>
            </w:r>
          </w:p>
        </w:tc>
        <w:tc>
          <w:tcPr>
            <w:tcW w:type="dxa" w:w="42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« Combien ? » — agrégats numériques dans le temps</w:t>
            </w:r>
          </w:p>
        </w:tc>
        <w:tc>
          <w:tcPr>
            <w:tcW w:type="dxa" w:w="3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Req/s, latence p99, taux d’erreur</w:t>
            </w:r>
          </w:p>
        </w:tc>
      </w:tr>
      <w:tr>
        <w:tc>
          <w:tcPr>
            <w:tcW w:type="dxa" w:w="18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Logs</w:t>
            </w:r>
          </w:p>
        </w:tc>
        <w:tc>
          <w:tcPr>
            <w:tcW w:type="dxa" w:w="42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« Que s’est-il passé ? » — événements discrets</w:t>
            </w:r>
          </w:p>
        </w:tc>
        <w:tc>
          <w:tcPr>
            <w:tcW w:type="dxa" w:w="3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Trace d’une exception, ligne d’audit</w:t>
            </w:r>
          </w:p>
        </w:tc>
      </w:tr>
      <w:tr>
        <w:tc>
          <w:tcPr>
            <w:tcW w:type="dxa" w:w="18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Traces</w:t>
            </w:r>
          </w:p>
        </w:tc>
        <w:tc>
          <w:tcPr>
            <w:tcW w:type="dxa" w:w="42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« Où, dans le parcours ? » — chemin d’une requête</w:t>
            </w:r>
          </w:p>
        </w:tc>
        <w:tc>
          <w:tcPr>
            <w:tcW w:type="dxa" w:w="3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Span A→B→C avec durées</w:t>
            </w:r>
          </w:p>
        </w:tc>
      </w:tr>
    </w:tbl>
    <w:tbl>
      <w:tblPr>
        <w:tblW w:type="dxa" w:w="9026"/>
        <w:tblBorders>
          <w:top w:val="none" w:color="FFFFFF" w:sz="0"/>
          <w:left w:val="single" w:color="1F3A93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3A93" w:sz="24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93"/>
                <w:sz w:val="20"/>
                <w:szCs w:val="20"/>
              </w:rPr>
              <w:t xml:space="preserve">ℹ  </w:t>
            </w:r>
            <w:r>
              <w:rPr>
                <w:b/>
                <w:bCs/>
                <w:color w:val="1F3A93"/>
                <w:sz w:val="18"/>
                <w:szCs w:val="18"/>
              </w:rPr>
              <w:t xml:space="preserve">CORRÉLER LES TROIS</w:t>
            </w:r>
          </w:p>
          <w:p>
            <w:pPr>
              <w:spacing w:after="0" w:line="264"/>
            </w:pPr>
            <w:r>
              <w:t xml:space="preserve">La vraie valeur naît de la </w:t>
            </w:r>
            <w:r>
              <w:rPr>
                <w:b/>
                <w:bCs/>
              </w:rPr>
              <w:t xml:space="preserve">corrélation</w:t>
            </w:r>
            <w:r>
              <w:t xml:space="preserve"> : une métrique signale une hausse de latence p99, une trace pointe le service lent, un log donne la cause exacte. Un </w:t>
            </w: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trace_id</w:t>
            </w:r>
            <w:r>
              <w:t xml:space="preserve"> propagé partout permet de sauter d’un pilier à l’autre en un clic. Trois silos non corrélés valent beaucoup moins que trois signaux liés.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SLI, SLO, SLA et error budget</w:t>
      </w:r>
    </w:p>
    <w:p>
      <w:pPr>
        <w:spacing w:after="160" w:line="288"/>
      </w:pPr>
      <w:r>
        <w:rPr>
          <w:i/>
          <w:iCs/>
          <w:color w:val="4A5160"/>
          <w:sz w:val="22"/>
          <w:szCs w:val="22"/>
        </w:rPr>
        <w:t xml:space="preserve">Le cœur de la discipline SRE (Site Reliability Engineering, formalisée par Google) : transformer « la fiabilité » en chiffres sur lesquels on décide.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Terme</w:t>
            </w:r>
          </w:p>
        </w:tc>
        <w:tc>
          <w:tcPr>
            <w:tcW w:type="dxa" w:w="68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Définition</w:t>
            </w:r>
          </w:p>
        </w:tc>
      </w:tr>
      <w:tr>
        <w:tc>
          <w:tcPr>
            <w:tcW w:type="dxa" w:w="22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SLI (Indicator)</w:t>
            </w:r>
          </w:p>
        </w:tc>
        <w:tc>
          <w:tcPr>
            <w:tcW w:type="dxa" w:w="68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Une mesure de la qualité de service (ex : % de requêtes &lt; 300 ms)</w:t>
            </w:r>
          </w:p>
        </w:tc>
      </w:tr>
      <w:tr>
        <w:tc>
          <w:tcPr>
            <w:tcW w:type="dxa" w:w="22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SLO (Objective)</w:t>
            </w:r>
          </w:p>
        </w:tc>
        <w:tc>
          <w:tcPr>
            <w:tcW w:type="dxa" w:w="68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La cible visée sur un SLI (ex : 99,9 % sur 30 jours)</w:t>
            </w:r>
          </w:p>
        </w:tc>
      </w:tr>
      <w:tr>
        <w:tc>
          <w:tcPr>
            <w:tcW w:type="dxa" w:w="22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SLA (Agreement)</w:t>
            </w:r>
          </w:p>
        </w:tc>
        <w:tc>
          <w:tcPr>
            <w:tcW w:type="dxa" w:w="68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Engagement contractuel envers un client, avec pénalités</w:t>
            </w:r>
          </w:p>
        </w:tc>
      </w:tr>
      <w:tr>
        <w:tc>
          <w:tcPr>
            <w:tcW w:type="dxa" w:w="22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Error budget</w:t>
            </w:r>
          </w:p>
        </w:tc>
        <w:tc>
          <w:tcPr>
            <w:tcW w:type="dxa" w:w="68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Le droit à l’échec : 100 % − SLO (ici 0,1 %)</w:t>
            </w:r>
          </w:p>
        </w:tc>
      </w:tr>
    </w:tbl>
    <w:p>
      <w:pPr>
        <w:pStyle w:val="Heading2"/>
      </w:pPr>
      <w:r>
        <w:t xml:space="preserve">2.1 L’error budget, outil de décision</w:t>
      </w:r>
    </w:p>
    <w:p>
      <w:pPr>
        <w:spacing w:after="120" w:line="276"/>
      </w:pPr>
      <w:r>
        <w:t xml:space="preserve">Si ton SLO de disponibilité est 99,9 % sur 30 jours, tu as droit à </w:t>
      </w:r>
      <w:r>
        <w:rPr>
          <w:b/>
          <w:bCs/>
        </w:rPr>
        <w:t xml:space="preserve">0,1 %</w:t>
      </w:r>
      <w:r>
        <w:t xml:space="preserve"> d’indisponibilité, soit ~43 minutes par mois. C’est ton </w:t>
      </w:r>
      <w:r>
        <w:rPr>
          <w:b/>
          <w:bCs/>
        </w:rPr>
        <w:t xml:space="preserve">budget d’erreur</w:t>
      </w:r>
      <w:r>
        <w:t xml:space="preserve">. Il transforme un débat émotionnel (« faut-il livrer cette feature risquée ? ») en règle objective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Budget restant ?</w:t>
      </w:r>
      <w:r>
        <w:t xml:space="preserve"> On continue de livrer des nouveautés : le risque est couvert.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Budget épuisé ?</w:t>
      </w:r>
      <w:r>
        <w:t xml:space="preserve"> On gèle les nouvelles features et on investit dans la fiabilité jusqu’à reconstituer le budget.</w:t>
      </w:r>
    </w:p>
    <w:tbl>
      <w:tblPr>
        <w:tblW w:type="dxa" w:w="9026"/>
        <w:tblBorders>
          <w:top w:val="none" w:color="FFFFFF" w:sz="0"/>
          <w:left w:val="single" w:color="0E7C7B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7C7B" w:sz="24"/>
              <w:bottom w:val="none" w:color="FFFFFF" w:sz="0"/>
              <w:right w:val="none" w:color="FFFFFF" w:sz="0"/>
            </w:tcBorders>
            <w:shd w:fill="E6F5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✔  </w:t>
            </w:r>
            <w:r>
              <w:rPr>
                <w:b/>
                <w:bCs/>
                <w:color w:val="0E7C7B"/>
                <w:sz w:val="18"/>
                <w:szCs w:val="18"/>
              </w:rPr>
              <w:t xml:space="preserve">LA RÉCONCILIATION DEV/OPS CHIFFRÉE</w:t>
            </w:r>
          </w:p>
          <w:p>
            <w:pPr>
              <w:spacing w:after="0" w:line="264"/>
            </w:pPr>
            <w:r>
              <w:t xml:space="preserve">L’error budget résout le conflit historique du module 00 : les Dev veulent livrer (consommer du budget), les Ops veulent la stabilité (préserver le budget). Le budget arbitre </w:t>
            </w:r>
            <w:r>
              <w:rPr>
                <w:b/>
                <w:bCs/>
              </w:rPr>
              <w:t xml:space="preserve">automatiquement</w:t>
            </w:r>
            <w:r>
              <w:t xml:space="preserve">, sans blâme : tant qu’il en reste, on accélère ; quand il s’épuise, on consolide.</w:t>
            </w:r>
          </w:p>
        </w:tc>
      </w:tr>
    </w:tbl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CALCUL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Exemple de calcul d'error budget (disponibilité)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SLO = 99.9 %  sur 30 jours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Fenêtre = 30 j × 24 h × 60 min = 43 200 min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Budget d'erreur = 0,1 % × 43 200 = 43,2 min d'indisponibilité tolérée / mois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Burn rate = vitesse de consommation du budget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Burn rate = 1  → on consomme pile le budget sur la fenêtre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Burn rate = 14 → budget d'1h brûlé en ~5 min : alerte critique</w:t>
            </w:r>
          </w:p>
        </w:tc>
      </w:tr>
    </w:tbl>
    <w:p>
      <w:pPr>
        <w:pStyle w:val="Heading2"/>
      </w:pPr>
      <w:r>
        <w:t xml:space="preserve">2.2 Les Golden Signals</w:t>
      </w:r>
    </w:p>
    <w:p>
      <w:pPr>
        <w:spacing w:after="120" w:line="276"/>
      </w:pPr>
      <w:r>
        <w:t xml:space="preserve">Pour un service en ligne, quatre signaux suffisent à couvrir l’essentiel (méthode Google) 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Latence</w:t>
      </w:r>
      <w:r>
        <w:t xml:space="preserve"> : temps de réponse (distinguer succès et erreurs ; viser le p99, pas la moyenne).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Trafic</w:t>
      </w:r>
      <w:r>
        <w:t xml:space="preserve"> : demande adressée au système (req/s).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Erreurs</w:t>
      </w:r>
      <w:r>
        <w:t xml:space="preserve"> : taux de requêtes qui échouent.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Saturation</w:t>
      </w:r>
      <w:r>
        <w:t xml:space="preserve"> : à quel point une ressource est proche de sa limite (CPU, mémoire, file).</w:t>
      </w:r>
    </w:p>
    <w:tbl>
      <w:tblPr>
        <w:tblW w:type="dxa" w:w="9026"/>
        <w:tblBorders>
          <w:top w:val="none" w:color="FFFFFF" w:sz="0"/>
          <w:left w:val="single" w:color="5B4BCB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5B4BCB" w:sz="24"/>
              <w:bottom w:val="none" w:color="FFFFFF" w:sz="0"/>
              <w:right w:val="none" w:color="FFFFFF" w:sz="0"/>
            </w:tcBorders>
            <w:shd w:fill="F0EE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B4BCB"/>
                <w:sz w:val="20"/>
                <w:szCs w:val="20"/>
              </w:rPr>
              <w:t xml:space="preserve">✎  </w:t>
            </w:r>
            <w:r>
              <w:rPr>
                <w:b/>
                <w:bCs/>
                <w:color w:val="5B4BCB"/>
                <w:sz w:val="18"/>
                <w:szCs w:val="18"/>
              </w:rPr>
              <w:t xml:space="preserve">P99 PLUTÔT QUE MOYENNE</w:t>
            </w:r>
          </w:p>
          <w:p>
            <w:pPr>
              <w:spacing w:after="0" w:line="264"/>
            </w:pPr>
            <w:r>
              <w:t xml:space="preserve">La moyenne ment : une latence moyenne de 100 ms peut cacher 1 % d’utilisateurs à 5 s. Les percentiles (p95, p99) décrivent l’expérience réelle de la </w:t>
            </w:r>
            <w:r>
              <w:rPr>
                <w:b/>
                <w:bCs/>
              </w:rPr>
              <w:t xml:space="preserve">queue de distribution</w:t>
            </w:r>
            <w:r>
              <w:t xml:space="preserve"> — souvent là où se cachent les vrais problèmes.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Instrumenter et collecter</w:t>
      </w:r>
    </w:p>
    <w:p>
      <w:pPr>
        <w:pStyle w:val="Heading2"/>
      </w:pPr>
      <w:r>
        <w:t xml:space="preserve">3.1 OpenTelemetry : le standard d’instrumentation</w:t>
      </w:r>
    </w:p>
    <w:p>
      <w:pPr>
        <w:spacing w:after="120" w:line="276"/>
      </w:pPr>
      <w:r>
        <w:rPr>
          <w:b/>
          <w:bCs/>
        </w:rPr>
        <w:t xml:space="preserve">OpenTelemetry (OTel)</w:t>
      </w:r>
      <w:r>
        <w:t xml:space="preserve">, standard CNCF, unifie la génération de métriques, logs et traces derrière une API neutre. On instrumente une fois ; on exporte vers n’importe quel backend (Prometheus, Grafana Tempo, Jaeger, Cloud Operations…) sans réécrire le code.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JAVASCRIPT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// Création d'un span autour d'une opération métier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const tracer = opentelemetry.trace.getTracer("payments");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await tracer.startActiveSpan("processPayment", async (span) =&gt;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span.setAttribute("payment.amount", amount);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span.setAttribute("payment.currency", "EUR");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const res = await charge(amount);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span.setStatus({ code: SpanStatusCode.OK });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return res;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span.recordException(err);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span.setStatus({ code: SpanStatusCode.ERROR });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throw err;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} finally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span.end();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2"/>
      </w:pPr>
      <w:r>
        <w:t xml:space="preserve">3.2 Prometheus : la collecte de métriques</w:t>
      </w:r>
    </w:p>
    <w:p>
      <w:pPr>
        <w:spacing w:after="120" w:line="276"/>
      </w:pPr>
      <w:r>
        <w:t xml:space="preserve">Prometheus </w:t>
      </w:r>
      <w:r>
        <w:rPr>
          <w:b/>
          <w:bCs/>
        </w:rPr>
        <w:t xml:space="preserve">scrute</w:t>
      </w:r>
      <w:r>
        <w:t xml:space="preserve"> (</w:t>
      </w:r>
      <w:r>
        <w:rPr>
          <w:i/>
          <w:iCs/>
        </w:rPr>
        <w:t xml:space="preserve">pull</w:t>
      </w:r>
      <w:r>
        <w:t xml:space="preserve">) périodiquement un endpoint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/metrics</w:t>
      </w:r>
      <w:r>
        <w:t xml:space="preserve"> exposé par chaque service, et stocke des séries temporelles interrogeables en </w:t>
      </w:r>
      <w:r>
        <w:rPr>
          <w:b/>
          <w:bCs/>
        </w:rPr>
        <w:t xml:space="preserve">PromQL</w:t>
      </w:r>
      <w:r>
        <w:t xml:space="preserve">.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PROMQL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Taux d'erreur sur 5 min (PromQL)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sum(rate(http_requests_total{status=~"5.."}[5m]))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/ sum(rate(http_requests_total[5m]))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Latence p99 (à partir d'un histogramme)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histogram_quantile(0.99,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sum(rate(http_request_duration_seconds_bucket[5m])) by (le))</w:t>
            </w:r>
          </w:p>
        </w:tc>
      </w:tr>
    </w:tbl>
    <w:tbl>
      <w:tblPr>
        <w:tblW w:type="dxa" w:w="9026"/>
        <w:tblBorders>
          <w:top w:val="none" w:color="FFFFFF" w:sz="0"/>
          <w:left w:val="single" w:color="0E7C7B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7C7B" w:sz="24"/>
              <w:bottom w:val="none" w:color="FFFFFF" w:sz="0"/>
              <w:right w:val="none" w:color="FFFFFF" w:sz="0"/>
            </w:tcBorders>
            <w:shd w:fill="E6F5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✔  </w:t>
            </w:r>
            <w:r>
              <w:rPr>
                <w:b/>
                <w:bCs/>
                <w:color w:val="0E7C7B"/>
                <w:sz w:val="18"/>
                <w:szCs w:val="18"/>
              </w:rPr>
              <w:t xml:space="preserve">EXPOSER UN SLO EN PROMQL</w:t>
            </w:r>
          </w:p>
          <w:p>
            <w:pPr>
              <w:spacing w:after="0" w:line="264"/>
            </w:pPr>
            <w:r>
              <w:t xml:space="preserve">Un SLO se code directement : « part des requêtes servies sous 300 ms sur 30 j ». Des outils comme Sloth ou Pyrra génèrent à partir d’un SLO déclaré les règles d’enregistrement et les alertes de </w:t>
            </w:r>
            <w:r>
              <w:rPr>
                <w:b/>
                <w:bCs/>
              </w:rPr>
              <w:t xml:space="preserve">burn rate</w:t>
            </w:r>
            <w:r>
              <w:t xml:space="preserve"> correspondantes.</w:t>
            </w:r>
          </w:p>
        </w:tc>
      </w:tr>
    </w:tbl>
    <w:p>
      <w:pPr>
        <w:pStyle w:val="Heading2"/>
      </w:pPr>
      <w:r>
        <w:t xml:space="preserve">3.3 Grafana : visualiser et alerter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Dashboards</w:t>
      </w:r>
      <w:r>
        <w:t xml:space="preserve"> par service : Golden Signals + SLO + budget restant.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Corrélation</w:t>
      </w:r>
      <w:r>
        <w:t xml:space="preserve"> : depuis un pic sur un graphe, sauter aux logs (Loki) et aux traces (Tempo) via le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trace_id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Vue </w:t>
      </w:r>
      <w:r>
        <w:rPr>
          <w:b/>
          <w:bCs/>
        </w:rPr>
        <w:t xml:space="preserve">flotte</w:t>
      </w:r>
      <w:r>
        <w:t xml:space="preserve"> : agréger les SLO de tous les services pour une lecture de santé globale.</w:t>
      </w:r>
    </w:p>
    <w:p>
      <w:r>
        <w:br w:type="page"/>
      </w:r>
    </w:p>
    <w:p>
      <w:pPr>
        <w:pStyle w:val="Heading1"/>
      </w:pPr>
      <w:r>
        <w:t xml:space="preserve">4. Alerter intelligemment</w:t>
      </w:r>
    </w:p>
    <w:p>
      <w:pPr>
        <w:spacing w:after="160" w:line="288"/>
      </w:pPr>
      <w:r>
        <w:rPr>
          <w:i/>
          <w:iCs/>
          <w:color w:val="4A5160"/>
          <w:sz w:val="22"/>
          <w:szCs w:val="22"/>
        </w:rPr>
        <w:t xml:space="preserve">La pire dérive de l’alerting : alerter sur des causes (CPU à 90 %) plutôt que sur des symptômes vécus par l’utilisateur. On finit noyé sous le bruit, et on ignore les vraies alertes (fatigue d’alerte).</w:t>
      </w:r>
    </w:p>
    <w:p>
      <w:pPr>
        <w:pStyle w:val="Heading2"/>
      </w:pPr>
      <w:r>
        <w:t xml:space="preserve">4.1 Alerter sur les SLO, pas sur les causes</w:t>
      </w:r>
    </w:p>
    <w:p>
      <w:pPr>
        <w:spacing w:after="120" w:line="276"/>
      </w:pPr>
      <w:r>
        <w:t xml:space="preserve">On alerte quand l’</w:t>
      </w:r>
      <w:r>
        <w:rPr>
          <w:b/>
          <w:bCs/>
        </w:rPr>
        <w:t xml:space="preserve">expérience utilisateur</w:t>
      </w:r>
      <w:r>
        <w:t xml:space="preserve"> se dégrade (le SLO brûle trop vite), pas à chaque soubresaut d’une ressource. Le </w:t>
      </w:r>
      <w:r>
        <w:rPr>
          <w:b/>
          <w:bCs/>
        </w:rPr>
        <w:t xml:space="preserve">burn rate</w:t>
      </w:r>
      <w:r>
        <w:t xml:space="preserve"> est l’indicateur clé : il mesure à quelle vitesse on consomme le budget d’erreur.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26"/>
        <w:gridCol w:w="2500"/>
      </w:tblGrid>
      <w:tr>
        <w:trPr>
          <w:tblHeader/>
        </w:trPr>
        <w:tc>
          <w:tcPr>
            <w:tcW w:type="dxa" w:w="2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Burn rate</w:t>
            </w:r>
          </w:p>
        </w:tc>
        <w:tc>
          <w:tcPr>
            <w:tcW w:type="dxa" w:w="42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  <w:tc>
          <w:tcPr>
            <w:tcW w:type="dxa" w:w="25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Réaction</w:t>
            </w:r>
          </w:p>
        </w:tc>
      </w:tr>
      <w:tr>
        <w:tc>
          <w:tcPr>
            <w:tcW w:type="dxa" w:w="2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Élevé (ex : ×14)</w:t>
            </w:r>
          </w:p>
        </w:tc>
        <w:tc>
          <w:tcPr>
            <w:tcW w:type="dxa" w:w="42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Budget d’1h consommé en minutes</w:t>
            </w:r>
          </w:p>
        </w:tc>
        <w:tc>
          <w:tcPr>
            <w:tcW w:type="dxa" w:w="25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Alerte critique, page immédiate</w:t>
            </w:r>
          </w:p>
        </w:tc>
      </w:tr>
      <w:tr>
        <w:tc>
          <w:tcPr>
            <w:tcW w:type="dxa" w:w="2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Modéré (ex : ×6)</w:t>
            </w:r>
          </w:p>
        </w:tc>
        <w:tc>
          <w:tcPr>
            <w:tcW w:type="dxa" w:w="42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Budget grignoté plus vite que prévu</w:t>
            </w:r>
          </w:p>
        </w:tc>
        <w:tc>
          <w:tcPr>
            <w:tcW w:type="dxa" w:w="25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Alerte, investigation dans l’heure</w:t>
            </w:r>
          </w:p>
        </w:tc>
      </w:tr>
      <w:tr>
        <w:tc>
          <w:tcPr>
            <w:tcW w:type="dxa" w:w="2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Faible (≤ 1)</w:t>
            </w:r>
          </w:p>
        </w:tc>
        <w:tc>
          <w:tcPr>
            <w:tcW w:type="dxa" w:w="42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Consommation nominale</w:t>
            </w:r>
          </w:p>
        </w:tc>
        <w:tc>
          <w:tcPr>
            <w:tcW w:type="dxa" w:w="25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Pas d’alerte</w:t>
            </w:r>
          </w:p>
        </w:tc>
      </w:tr>
    </w:tbl>
    <w:tbl>
      <w:tblPr>
        <w:tblW w:type="dxa" w:w="9026"/>
        <w:tblBorders>
          <w:top w:val="none" w:color="FFFFFF" w:sz="0"/>
          <w:left w:val="single" w:color="C26A12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26A12" w:sz="24"/>
              <w:bottom w:val="none" w:color="FFFFFF" w:sz="0"/>
              <w:right w:val="none" w:color="FFFFFF" w:sz="0"/>
            </w:tcBorders>
            <w:shd w:fill="FDF1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26A12"/>
                <w:sz w:val="20"/>
                <w:szCs w:val="20"/>
              </w:rPr>
              <w:t xml:space="preserve">⚠  </w:t>
            </w:r>
            <w:r>
              <w:rPr>
                <w:b/>
                <w:bCs/>
                <w:color w:val="C26A12"/>
                <w:sz w:val="18"/>
                <w:szCs w:val="18"/>
              </w:rPr>
              <w:t xml:space="preserve">MULTI-FENÊTRE</w:t>
            </w:r>
          </w:p>
          <w:p>
            <w:pPr>
              <w:spacing w:after="0" w:line="264"/>
            </w:pPr>
            <w:r>
              <w:t xml:space="preserve">Une bonne alerte SLO combine une fenêtre </w:t>
            </w:r>
            <w:r>
              <w:rPr>
                <w:b/>
                <w:bCs/>
              </w:rPr>
              <w:t xml:space="preserve">courte</w:t>
            </w:r>
            <w:r>
              <w:t xml:space="preserve"> (réactivité) et une fenêtre </w:t>
            </w:r>
            <w:r>
              <w:rPr>
                <w:b/>
                <w:bCs/>
              </w:rPr>
              <w:t xml:space="preserve">longue</w:t>
            </w:r>
            <w:r>
              <w:t xml:space="preserve"> (éviter les faux positifs). On ne réveille quelqu’un que si le budget brûle vite </w:t>
            </w:r>
            <w:r>
              <w:rPr>
                <w:b/>
                <w:bCs/>
              </w:rPr>
              <w:t xml:space="preserve">et</w:t>
            </w:r>
            <w:r>
              <w:t xml:space="preserve"> de façon soutenue.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Quand ça casse : post-mortem blameless</w:t>
      </w:r>
    </w:p>
    <w:p>
      <w:pPr>
        <w:spacing w:after="120" w:line="276"/>
      </w:pPr>
      <w:r>
        <w:t xml:space="preserve">L’incident est inévitable (c’est l’objet même de l’error budget). Ce qui distingue une équipe mature, c’est ce qu’elle en </w:t>
      </w:r>
      <w:r>
        <w:rPr>
          <w:b/>
          <w:bCs/>
        </w:rPr>
        <w:t xml:space="preserve">apprend</w:t>
      </w:r>
      <w:r>
        <w:t xml:space="preserve">. Le post-mortem </w:t>
      </w:r>
      <w:r>
        <w:rPr>
          <w:i/>
          <w:iCs/>
        </w:rPr>
        <w:t xml:space="preserve">blameless</w:t>
      </w:r>
      <w:r>
        <w:t xml:space="preserve"> (sans blâme) cherche les causes </w:t>
      </w:r>
      <w:r>
        <w:rPr>
          <w:b/>
          <w:bCs/>
        </w:rPr>
        <w:t xml:space="preserve">systémiques</w:t>
      </w:r>
      <w:r>
        <w:t xml:space="preserve">, jamais un coupable.</w:t>
      </w:r>
    </w:p>
    <w:p>
      <w:pPr>
        <w:pStyle w:val="Heading3"/>
      </w:pPr>
      <w:r>
        <w:t xml:space="preserve">5.1 Structure type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Résumé</w:t>
      </w:r>
      <w:r>
        <w:t xml:space="preserve"> : impact, durée, périmètre utilisateur.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Chronologie</w:t>
      </w:r>
      <w:r>
        <w:t xml:space="preserve"> : détection → diagnostic → mitigation → résolution (avec horodatages).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Cause racine</w:t>
      </w:r>
      <w:r>
        <w:t xml:space="preserve"> : analyse des « pourquoi » successifs (le système, pas la personne).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Ce qui a bien/mal fonctionné</w:t>
      </w:r>
      <w:r>
        <w:t xml:space="preserve"> : détection, outils, communication.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Actions</w:t>
      </w:r>
      <w:r>
        <w:t xml:space="preserve"> : correctifs concrets, datés, avec un propriétaire.</w:t>
      </w:r>
    </w:p>
    <w:tbl>
      <w:tblPr>
        <w:tblW w:type="dxa" w:w="9026"/>
        <w:tblBorders>
          <w:top w:val="none" w:color="FFFFFF" w:sz="0"/>
          <w:left w:val="single" w:color="0E7C7B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7C7B" w:sz="24"/>
              <w:bottom w:val="none" w:color="FFFFFF" w:sz="0"/>
              <w:right w:val="none" w:color="FFFFFF" w:sz="0"/>
            </w:tcBorders>
            <w:shd w:fill="E6F5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✔  </w:t>
            </w:r>
            <w:r>
              <w:rPr>
                <w:b/>
                <w:bCs/>
                <w:color w:val="0E7C7B"/>
                <w:sz w:val="18"/>
                <w:szCs w:val="18"/>
              </w:rPr>
              <w:t xml:space="preserve">POURQUOI BLAMELESS</w:t>
            </w:r>
          </w:p>
          <w:p>
            <w:pPr>
              <w:spacing w:after="0" w:line="264"/>
            </w:pPr>
            <w:r>
              <w:t xml:space="preserve">Dès qu’un post-mortem cherche un coupable, les gens cachent l’information par peur des représailles, et l’organisation cesse d’apprendre. On part du principe que </w:t>
            </w:r>
            <w:r>
              <w:rPr>
                <w:b/>
                <w:bCs/>
              </w:rPr>
              <w:t xml:space="preserve">chacun a agi au mieux avec les informations disponibles</w:t>
            </w:r>
            <w:r>
              <w:t xml:space="preserve"> ; si une seule personne a pu provoquer une panne majeure, c’est le </w:t>
            </w:r>
            <w:r>
              <w:rPr>
                <w:b/>
                <w:bCs/>
              </w:rPr>
              <w:t xml:space="preserve">système</w:t>
            </w:r>
            <w:r>
              <w:t xml:space="preserve"> (garde-fous, process) qui est en cause.</w:t>
            </w:r>
          </w:p>
        </w:tc>
      </w:tr>
    </w:tbl>
    <w:p>
      <w:pPr>
        <w:pStyle w:val="Heading3"/>
      </w:pPr>
      <w:r>
        <w:t xml:space="preserve">5.2 MTTR et le lien DORA</w:t>
      </w:r>
    </w:p>
    <w:p>
      <w:pPr>
        <w:spacing w:after="120" w:line="276"/>
      </w:pPr>
      <w:r>
        <w:t xml:space="preserve">Tout ce module fait baisser le </w:t>
      </w:r>
      <w:r>
        <w:rPr>
          <w:b/>
          <w:bCs/>
        </w:rPr>
        <w:t xml:space="preserve">MTTR</w:t>
      </w:r>
      <w:r>
        <w:t xml:space="preserve"> (module 00) : meilleure détection (SLO + burn rate), meilleur diagnostic (corrélation des 3 piliers), meilleure mitigation (kill switch du module 07). Un incident bien outillé se résout en minutes au lieu d’heures.</w:t>
      </w:r>
    </w:p>
    <w:p>
      <w:r>
        <w:br w:type="page"/>
      </w:r>
    </w:p>
    <w:p>
      <w:pPr>
        <w:pStyle w:val="Heading1"/>
      </w:pPr>
      <w:r>
        <w:t xml:space="preserve">6. Toil et fiabilité comme 5e métrique DORA</w:t>
      </w:r>
    </w:p>
    <w:p>
      <w:pPr>
        <w:pStyle w:val="Heading2"/>
      </w:pPr>
      <w:r>
        <w:t xml:space="preserve">6.1 Réduire le toil</w:t>
      </w:r>
    </w:p>
    <w:p>
      <w:pPr>
        <w:spacing w:after="120" w:line="276"/>
      </w:pPr>
      <w:r>
        <w:t xml:space="preserve">Le </w:t>
      </w:r>
      <w:r>
        <w:rPr>
          <w:b/>
          <w:bCs/>
        </w:rPr>
        <w:t xml:space="preserve">toil</w:t>
      </w:r>
      <w:r>
        <w:t xml:space="preserve"> est le travail manuel, répétitif, automatisable et sans valeur durable (redémarrer un service à la main, appliquer un correctif récurrent). La discipline SRE plafonne le toil (souvent 50 % du temps max) et investit le reste dans l’automatisation qui le supprime.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Identifier le toil : ce que tu fais à la main plus d’une fois et qui pourrait être un script ou un opérateur.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L’automatiser : self-healing (sondes K8s), auto-scaling, runbooks exécutables.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Mesurer : la part de temps passée en toil doit </w:t>
      </w:r>
      <w:r>
        <w:rPr>
          <w:b/>
          <w:bCs/>
        </w:rPr>
        <w:t xml:space="preserve">baisser</w:t>
      </w:r>
      <w:r>
        <w:t xml:space="preserve"> dans le temps.</w:t>
      </w:r>
    </w:p>
    <w:p>
      <w:pPr>
        <w:pStyle w:val="Heading2"/>
      </w:pPr>
      <w:r>
        <w:t xml:space="preserve">6.2 La fiabilité, 5e métrique</w:t>
      </w:r>
    </w:p>
    <w:p>
      <w:pPr>
        <w:spacing w:after="120" w:line="276"/>
      </w:pPr>
      <w:r>
        <w:t xml:space="preserve">Depuis 2021, DORA ajoute la </w:t>
      </w:r>
      <w:r>
        <w:rPr>
          <w:b/>
          <w:bCs/>
        </w:rPr>
        <w:t xml:space="preserve">fiabilité</w:t>
      </w:r>
      <w:r>
        <w:t xml:space="preserve"> aux quatre métriques historiques : la capacité à </w:t>
      </w:r>
      <w:r>
        <w:rPr>
          <w:b/>
          <w:bCs/>
        </w:rPr>
        <w:t xml:space="preserve">tenir ses SLO</w:t>
      </w:r>
      <w:r>
        <w:t xml:space="preserve">. C’est l’aboutissement de la formation — la mesure qui dit si tout le reste (pipeline, GitOps, flags) produit réellement un service fiable.</w:t>
      </w:r>
    </w:p>
    <w:p>
      <w:pPr>
        <w:pStyle w:val="Heading2"/>
      </w:pPr>
      <w:r>
        <w:t xml:space="preserve">6.3 Fermer la boucle</w:t>
      </w:r>
    </w:p>
    <w:p>
      <w:pPr>
        <w:spacing w:after="120" w:line="276"/>
      </w:pPr>
      <w:r>
        <w:t xml:space="preserve">On reboucle sur la « deuxième voie » du module 00 : le </w:t>
      </w:r>
      <w:r>
        <w:rPr>
          <w:b/>
          <w:bCs/>
        </w:rPr>
        <w:t xml:space="preserve">feedback</w:t>
      </w:r>
      <w:r>
        <w:t xml:space="preserve">. L’observabilité n’est pas une fin, c’est ce qui renvoie l’information vers le code.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FLUX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Observabilité (SLO, traces, erreurs)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▼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Détecte une régression / un SLO qui brûle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├──► Mitigation immédiate : feature flag off (module 07)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▼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Post-mortem blameless → action datée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▼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Commit / MR de correctif (modules 01-02)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▼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CI/CD → artefact → GitOps → prod (modules 02-06)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└──► retour à l'observation  (la boucle est fermée)</w:t>
            </w:r>
          </w:p>
        </w:tc>
      </w:tr>
    </w:tbl>
    <w:tbl>
      <w:tblPr>
        <w:tblW w:type="dxa" w:w="9026"/>
        <w:tblBorders>
          <w:top w:val="none" w:color="FFFFFF" w:sz="0"/>
          <w:left w:val="single" w:color="1F3A93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3A93" w:sz="24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93"/>
                <w:sz w:val="20"/>
                <w:szCs w:val="20"/>
              </w:rPr>
              <w:t xml:space="preserve">ℹ  </w:t>
            </w:r>
            <w:r>
              <w:rPr>
                <w:b/>
                <w:bCs/>
                <w:color w:val="1F3A93"/>
                <w:sz w:val="18"/>
                <w:szCs w:val="18"/>
              </w:rPr>
              <w:t xml:space="preserve">LA BOUCLE COMPLÈTE</w:t>
            </w:r>
          </w:p>
          <w:p>
            <w:pPr>
              <w:spacing w:after="0" w:line="264"/>
            </w:pPr>
            <w:r>
              <w:t xml:space="preserve">Tu as maintenant parcouru toute la chaîne : culture et mesure (00), Git (01), CI/CD (02), qualité/sécurité (03), artefacts (04), Kubernetes/Kustomize (05), GitOps (06), feature flags (07) et observabilité (08). Chaque module alimente le suivant, et l’observabilité renvoie au premier. </w:t>
            </w:r>
            <w:r>
              <w:rPr>
                <w:b/>
                <w:bCs/>
              </w:rPr>
              <w:t xml:space="preserve">C’est cette boucle fermée, et non un outil isolé, qui définit le DevOps.</w:t>
            </w:r>
          </w:p>
        </w:tc>
      </w:tr>
    </w:tbl>
    <w:p>
      <w:pPr>
        <w:pBdr>
          <w:bottom w:val="single" w:color="D6DBE3" w:sz="6" w:space="2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À retenir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Observabilité</w:t>
      </w:r>
      <w:r>
        <w:t xml:space="preserve"> = comprendre l’état interne via les sorties ; 3 piliers </w:t>
      </w:r>
      <w:r>
        <w:rPr>
          <w:b/>
          <w:bCs/>
        </w:rPr>
        <w:t xml:space="preserve">corrélés</w:t>
      </w:r>
      <w:r>
        <w:t xml:space="preserve"> (métriques, logs, traces).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SLI/SLO/error budget</w:t>
      </w:r>
      <w:r>
        <w:t xml:space="preserve"> transforment la fiabilité en décisions objectives, sans blâme.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Surveiller les </w:t>
      </w:r>
      <w:r>
        <w:rPr>
          <w:b/>
          <w:bCs/>
        </w:rPr>
        <w:t xml:space="preserve">Golden Signals</w:t>
      </w:r>
      <w:r>
        <w:t xml:space="preserve"> ; raisonner en </w:t>
      </w:r>
      <w:r>
        <w:rPr>
          <w:b/>
          <w:bCs/>
        </w:rPr>
        <w:t xml:space="preserve">p99</w:t>
      </w:r>
      <w:r>
        <w:t xml:space="preserve">, pas en moyenne.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OpenTelemetry</w:t>
      </w:r>
      <w:r>
        <w:t xml:space="preserve"> pour instrumenter, </w:t>
      </w:r>
      <w:r>
        <w:rPr>
          <w:b/>
          <w:bCs/>
        </w:rPr>
        <w:t xml:space="preserve">Prometheus/Grafana</w:t>
      </w:r>
      <w:r>
        <w:t xml:space="preserve"> pour collecter et visualiser.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Alerter sur les SLO</w:t>
      </w:r>
      <w:r>
        <w:t xml:space="preserve"> (burn rate multi-fenêtre), pas sur les causes — éviter la fatigue d’alerte.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Post-mortem blameless</w:t>
      </w:r>
      <w:r>
        <w:t xml:space="preserve"> + kill switch font chuter le </w:t>
      </w:r>
      <w:r>
        <w:rPr>
          <w:b/>
          <w:bCs/>
        </w:rPr>
        <w:t xml:space="preserve">MTTR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 </w:t>
      </w:r>
      <w:r>
        <w:rPr>
          <w:b/>
          <w:bCs/>
        </w:rPr>
        <w:t xml:space="preserve">fiabilité</w:t>
      </w:r>
      <w:r>
        <w:t xml:space="preserve"> est la 5e métrique DORA ; l’observabilité </w:t>
      </w:r>
      <w:r>
        <w:rPr>
          <w:b/>
          <w:bCs/>
        </w:rPr>
        <w:t xml:space="preserve">ferme la boucle</w:t>
      </w:r>
      <w:r>
        <w:t xml:space="preserve"> de feedback vers le code.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BE3" w:sz="4" w:space="4"/>
      </w:pBdr>
      <w:tabs>
        <w:tab w:val="right" w:pos="9026"/>
      </w:tabs>
    </w:pPr>
    <w:r>
      <w:rPr>
        <w:color w:val="7A828F"/>
        <w:sz w:val="15"/>
        <w:szCs w:val="15"/>
      </w:rPr>
      <w:t xml:space="preserve">Usage interne — CC BY-SA</w:t>
    </w:r>
    <w:r>
      <w:rPr>
        <w:color w:val="7A828F"/>
        <w:sz w:val="15"/>
        <w:szCs w:val="15"/>
      </w:rPr>
      <w:t xml:space="preserve">	Page </w:t>
    </w:r>
    <w:r>
      <w:rPr>
        <w:color w:val="7A828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A828F"/>
        <w:sz w:val="15"/>
        <w:szCs w:val="15"/>
      </w:rPr>
      <w:t xml:space="preserve"> / </w:t>
    </w:r>
    <w:r>
      <w:rPr>
        <w:color w:val="7A828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BE3" w:sz="4" w:space="4"/>
      </w:pBdr>
      <w:tabs>
        <w:tab w:val="right" w:pos="9026"/>
      </w:tabs>
    </w:pPr>
    <w:r>
      <w:rPr>
        <w:b/>
        <w:bCs/>
        <w:color w:val="1F3A93"/>
        <w:sz w:val="16"/>
        <w:szCs w:val="16"/>
      </w:rPr>
      <w:t xml:space="preserve">Formation DevOps</w:t>
    </w:r>
    <w:r>
      <w:rPr>
        <w:color w:val="7A828F"/>
        <w:sz w:val="16"/>
        <w:szCs w:val="16"/>
      </w:rPr>
      <w:t xml:space="preserve">	Module 08 — Observabilité &amp; SRE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93" w:sz="8" w:space="6"/>
      </w:pBdr>
      <w:spacing w:after="180" w:before="360"/>
      <w:outlineLvl w:val="0"/>
    </w:pPr>
    <w:rPr>
      <w:rFonts w:ascii="Calibri" w:cs="Calibri" w:eastAsia="Calibri" w:hAnsi="Calibri"/>
      <w:b/>
      <w:bCs/>
      <w:color w:val="1F3A9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1F3A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E7C7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i/>
      <w:iCs/>
      <w:color w:val="1A1F2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Formation DevOps</dc:title>
  <dc:creator>Formation DevOps</dc:creator>
  <cp:lastModifiedBy>Un-named</cp:lastModifiedBy>
  <cp:revision>1</cp:revision>
  <dcterms:created xsi:type="dcterms:W3CDTF">2026-05-27T11:23:55.896Z</dcterms:created>
  <dcterms:modified xsi:type="dcterms:W3CDTF">2026-05-27T11:23:55.896Z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