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AAC"/>
          <w:sz w:val="36"/>
          <w:szCs w:val="36"/>
        </w:rPr>
        <w:t xml:space="preserve">ADR-0001 — Fail-open sur le gate Dependency Cooldown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Architecture Decision Record — LCL DevOps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Identifiant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ADR-0001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Titre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Fail-open sur le gate Dependency Cooldown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Accepté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21 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Auteur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.gitlab-ci.yml — job dependency-cooldown (stage test)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Décision liée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Doc d'implémentation Dependency Cooldown (toolchain)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La décision en une phrase</w:t>
            </w:r>
          </w:p>
          <w:p>
            <w:r>
              <w:t xml:space="preserve">Quand le job ne peut pas obtenir la date de publication d’une dépendance (registre injoignable, timeout, version absente), il </w:t>
            </w:r>
            <w:r>
              <w:rPr>
                <w:b/>
                <w:bCs/>
              </w:rPr>
              <w:t xml:space="preserve">laisse passer</w:t>
            </w:r>
            <w:r>
              <w:t xml:space="preserve"> la MR au lieu de la bloquer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fail-open</w:t>
            </w:r>
            <w:r>
              <w:t xml:space="preserve">). Ce choix est assumé car le cooldown n’est pas la première barrière de la chaîne.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Contexte</w:t>
      </w:r>
    </w:p>
    <w:p>
      <w:pPr>
        <w:spacing w:after="120"/>
      </w:pPr>
      <w:r>
        <w:t xml:space="preserve">Le job </w:t>
      </w:r>
      <w:r>
        <w:rPr>
          <w:rFonts w:ascii="Consolas" w:cs="Consolas" w:eastAsia="Consolas" w:hAnsi="Consolas"/>
          <w:sz w:val="20"/>
          <w:szCs w:val="20"/>
        </w:rPr>
        <w:t xml:space="preserve">dependency-cooldown</w:t>
      </w:r>
      <w:r>
        <w:t xml:space="preserve"> (stage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du </w:t>
      </w:r>
      <w:r>
        <w:rPr>
          <w:rFonts w:ascii="Consolas" w:cs="Consolas" w:eastAsia="Consolas" w:hAnsi="Consolas"/>
          <w:sz w:val="20"/>
          <w:szCs w:val="20"/>
        </w:rPr>
        <w:t xml:space="preserve">.gitlab-ci.yml</w:t>
      </w:r>
      <w:r>
        <w:t xml:space="preserve">) refuse les versions de packages publiées depuis moins de 3 jours, fenêtre durant laquelle la communauté détecte et retire la majorité des packages malveillants (attaques « smash-and-grab »).</w:t>
      </w:r>
    </w:p>
    <w:p>
      <w:pPr>
        <w:spacing w:after="120"/>
      </w:pPr>
      <w:r>
        <w:t xml:space="preserve">Pour décider si une version est trop récente, le job interroge l’API publique du registre (</w:t>
      </w:r>
      <w:r>
        <w:rPr>
          <w:rFonts w:ascii="Consolas" w:cs="Consolas" w:eastAsia="Consolas" w:hAnsi="Consolas"/>
          <w:sz w:val="20"/>
          <w:szCs w:val="20"/>
        </w:rPr>
        <w:t xml:space="preserve">registry.npmjs.org</w:t>
      </w:r>
      <w:r>
        <w:t xml:space="preserve">) afin de lire la date de publication. Cet appel réseau peut échouer : timeout, registre momentanément indisponible, ou version absente des métadonnées. Il faut donc trancher le comportement par défaut dans ce cas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fail-closed</w:t>
      </w:r>
      <w:r>
        <w:t xml:space="preserve"> — en cas de doute, bloquer la MR.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fail-open</w:t>
      </w:r>
      <w:r>
        <w:t xml:space="preserve"> — en cas de doute, laisser passer.</w:t>
      </w:r>
    </w:p>
    <w:p>
      <w:pPr>
        <w:spacing w:after="120"/>
      </w:pPr>
      <w:r>
        <w:t xml:space="preserve">Point déterminant : ce job n’est </w:t>
      </w:r>
      <w:r>
        <w:rPr>
          <w:b/>
          <w:bCs/>
        </w:rPr>
        <w:t xml:space="preserve">pas la première ni la seule barrière</w:t>
      </w:r>
      <w:r>
        <w:t xml:space="preserve">. Une dépendance qui atteint le cooldown a déjà franchi les protections supply-chain situées en amont dans la même toolchain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NPM_CONFIG_IGNORE_SCRIPTS=true</w:t>
      </w:r>
      <w:r>
        <w:t xml:space="preserve"> — blocage global des scripts preinstall/install/postinstall.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Whitelist centralisée (</w:t>
      </w:r>
      <w:r>
        <w:rPr>
          <w:rFonts w:ascii="Consolas" w:cs="Consolas" w:eastAsia="Consolas" w:hAnsi="Consolas"/>
          <w:sz w:val="20"/>
          <w:szCs w:val="20"/>
        </w:rPr>
        <w:t xml:space="preserve">NPM_SCRIPTS_WHITELIST</w:t>
      </w:r>
      <w:r>
        <w:t xml:space="preserve">) — seuls les packages légitimes nécessitant des scripts natifs sont autorisés à les exécuter.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des </w:t>
      </w:r>
      <w:r>
        <w:rPr>
          <w:rFonts w:ascii="Consolas" w:cs="Consolas" w:eastAsia="Consolas" w:hAnsi="Consolas"/>
          <w:sz w:val="20"/>
          <w:szCs w:val="20"/>
        </w:rPr>
        <w:t xml:space="preserve">postinstall</w:t>
      </w:r>
      <w:r>
        <w:t xml:space="preserve"> non autorisés au build (</w:t>
      </w:r>
      <w:r>
        <w:rPr>
          <w:rFonts w:ascii="Consolas" w:cs="Consolas" w:eastAsia="Consolas" w:hAnsi="Consolas"/>
          <w:sz w:val="20"/>
          <w:szCs w:val="20"/>
        </w:rPr>
        <w:t xml:space="preserve">npm ci --ignore-scripts</w:t>
      </w:r>
      <w:r>
        <w:t xml:space="preserve"> puis contrôle ciblé).</w:t>
      </w:r>
    </w:p>
    <w:p>
      <w:pPr>
        <w:spacing w:after="120"/>
      </w:pPr>
      <w:r>
        <w:t xml:space="preserve">Ces protections occupent les lignes ~40-149 du </w:t>
      </w:r>
      <w:r>
        <w:rPr>
          <w:rFonts w:ascii="Consolas" w:cs="Consolas" w:eastAsia="Consolas" w:hAnsi="Consolas"/>
          <w:sz w:val="20"/>
          <w:szCs w:val="20"/>
        </w:rPr>
        <w:t xml:space="preserve">.gitlab-ci.yml</w:t>
      </w:r>
      <w:r>
        <w:t xml:space="preserve">. Le cooldown est une </w:t>
      </w:r>
      <w:r>
        <w:rPr>
          <w:b/>
          <w:bCs/>
        </w:rPr>
        <w:t xml:space="preserve">couche complémentaire</w:t>
      </w:r>
      <w:r>
        <w:t xml:space="preserve">, pas le rempart unique.</w:t>
      </w:r>
    </w:p>
    <w:p>
      <w:pPr>
        <w:pStyle w:val="Heading1"/>
      </w:pPr>
      <w:r>
        <w:t xml:space="preserve">2. Décision</w:t>
      </w:r>
    </w:p>
    <w:p>
      <w:pPr>
        <w:spacing w:after="120"/>
      </w:pPr>
      <w:r>
        <w:t xml:space="preserve">Le job adopte un comportement </w:t>
      </w:r>
      <w:r>
        <w:rPr>
          <w:b/>
          <w:bCs/>
        </w:rPr>
        <w:t xml:space="preserve">fail-open</w:t>
      </w:r>
      <w:r>
        <w:t xml:space="preserve"> : si la date de publication d’une version ne peut pas être obtenue, cette version est ignorée (non bloquante) et la vérification continue pour les autres. La MR n’est bloquée que lorsqu’une date </w:t>
      </w:r>
      <w:r>
        <w:rPr>
          <w:i/>
          <w:iCs/>
        </w:rPr>
        <w:t xml:space="preserve">est</w:t>
      </w:r>
      <w:r>
        <w:t xml:space="preserve"> obtenue </w:t>
      </w:r>
      <w:r>
        <w:rPr>
          <w:i/>
          <w:iCs/>
        </w:rPr>
        <w:t xml:space="preserve">et</w:t>
      </w:r>
      <w:r>
        <w:t xml:space="preserve"> prouve que la version est trop récente.</w:t>
      </w:r>
    </w:p>
    <w:p>
      <w:pPr>
        <w:pStyle w:val="Heading1"/>
      </w:pPr>
      <w:r>
        <w:t xml:space="preserve">3. Justification</w:t>
      </w:r>
    </w:p>
    <w:p>
      <w:pPr>
        <w:pStyle w:val="Heading2"/>
      </w:pPr>
      <w:r>
        <w:t xml:space="preserve">3.1 L’adoption est une propriété de sécurité</w:t>
      </w:r>
    </w:p>
    <w:p>
      <w:pPr>
        <w:spacing w:after="120"/>
      </w:pPr>
      <w:r>
        <w:t xml:space="preserve">Un gate qui produit des faux positifs bloquants à chaque hoquet du registre npm finit par être perçu comme un obstacle. Les squads cherchent alors à le désactiver ou à le contourner — et un gate désactivé ne protège personne. Sur une couche non-première, préserver la confiance et l’adoption a plus de valeur de sécurité réelle qu’une rigueur absolue qui génère de la friction.</w:t>
      </w:r>
    </w:p>
    <w:p>
      <w:pPr>
        <w:pStyle w:val="Heading2"/>
      </w:pPr>
      <w:r>
        <w:t xml:space="preserve">3.2 Le risque résiduel est couvert en amont</w:t>
      </w:r>
    </w:p>
    <w:p>
      <w:pPr>
        <w:spacing w:after="120"/>
      </w:pPr>
      <w:r>
        <w:t xml:space="preserve">Le scénario d’attaque correspondant au fail-open — un adversaire qui ferait délibérément échouer la résolution de date pour glisser une version sous le seuil — suppose qu’il a </w:t>
      </w:r>
      <w:r>
        <w:rPr>
          <w:i/>
          <w:iCs/>
        </w:rPr>
        <w:t xml:space="preserve">déjà</w:t>
      </w:r>
      <w:r>
        <w:t xml:space="preserve"> franchi l’isolation poste et le blocage des scripts d’installation. À ce stade, il dispose de leviers bien plus directs que le cooldown : ce dernier n’est pas le maillon sur lequel repose la défense.</w:t>
      </w:r>
    </w:p>
    <w:p>
      <w:pPr>
        <w:pStyle w:val="Heading2"/>
      </w:pPr>
      <w:r>
        <w:t xml:space="preserve">3.3 L’échange réel</w:t>
      </w:r>
    </w:p>
    <w:p>
      <w:pPr>
        <w:spacing w:after="120"/>
      </w:pPr>
      <w:r>
        <w:t xml:space="preserve">Choisir fail-closed sur cette couche ne renforcerait pas la sécurité réelle : il déplacerait le risque depuis « attaque très improbable et déjà couverte en amont » vers « non-adoption très probable ». C’est un moins bon échange.</w:t>
      </w:r>
    </w:p>
    <w:p>
      <w:pPr>
        <w:pStyle w:val="Heading1"/>
      </w:pPr>
      <w:r>
        <w:t xml:space="preserve">4. Conséquences</w:t>
      </w:r>
    </w:p>
    <w:p>
      <w:pPr>
        <w:pStyle w:val="Heading2"/>
      </w:pPr>
      <w:r>
        <w:t xml:space="preserve">4.1 Acceptées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version dont la date est indéterminable peut passer le gate sans contrôle d’âge.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protection cooldown n’est garantie que lorsque le registre public répond.</w:t>
      </w:r>
    </w:p>
    <w:p>
      <w:pPr>
        <w:pStyle w:val="Heading2"/>
      </w:pPr>
      <w:r>
        <w:t xml:space="preserve">4.2 Bénéfices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blocage de MR légitimes lors d’incidents réseau ou registre.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Confiance et adoption du gate préservées sur les 300+ squads.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verdict bloquant reste fiable : il ne se déclenche que sur preuve positive (date obtenue + trop récente).</w:t>
      </w:r>
    </w:p>
    <w:p>
      <w:pPr>
        <w:pStyle w:val="Heading1"/>
      </w:pPr>
      <w:r>
        <w:t xml:space="preserve">5. Condition d’invalidation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Quand cette décision cesse d’être valable</w:t>
            </w:r>
          </w:p>
          <w:p>
            <w:r>
              <w:t xml:space="preserve">Le fail-open n’est justifié que </w:t>
            </w:r>
            <w:r>
              <w:rPr>
                <w:b/>
                <w:bCs/>
              </w:rPr>
              <w:t xml:space="preserve">tant que les barrières amont existent</w:t>
            </w:r>
            <w:r>
              <w:t xml:space="preserve"> (isolation poste,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IGNORE_SCRIPTS</w:t>
            </w:r>
            <w:r>
              <w:t xml:space="preserve">, whitelist, contrôle postinstall — lignes ~40-149). </w:t>
            </w:r>
            <w:r>
              <w:t xml:space="preserve">Si ces protections sont retirées ou rendues contournables, le cooldown redevient une barrière de premier niveau et le passage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fail-closed</w:t>
            </w:r>
            <w:r>
              <w:t xml:space="preserve"> doit être réévalué.</w:t>
            </w:r>
          </w:p>
        </w:tc>
      </w:tr>
    </w:tbl>
    <w:p>
      <w:pPr>
        <w:pStyle w:val="Heading1"/>
      </w:pPr>
      <w:r>
        <w:t xml:space="preserve">6. Alternatives écartées</w:t>
      </w:r>
    </w:p>
    <w:p>
      <w:pPr>
        <w:pStyle w:val="Heading2"/>
      </w:pPr>
      <w:r>
        <w:t xml:space="preserve">6.1 Fail-closed systématique</w:t>
      </w:r>
    </w:p>
    <w:p>
      <w:pPr>
        <w:spacing w:after="120"/>
      </w:pPr>
      <w:r>
        <w:t xml:space="preserve">Bloque toute MR dès qu’une date est indéterminable. Écarté : génère des faux positifs à chaque indisponibilité du registre, dégrade l’adoption sans gain de sécurité réel compte tenu des barrières amont.</w:t>
      </w:r>
    </w:p>
    <w:p>
      <w:pPr>
        <w:pStyle w:val="Heading2"/>
      </w:pPr>
      <w:r>
        <w:t xml:space="preserve">6.2 Source de date alternative (proxy interne)</w:t>
      </w:r>
    </w:p>
    <w:p>
      <w:pPr>
        <w:spacing w:after="120"/>
      </w:pPr>
      <w:r>
        <w:t xml:space="preserve">Interroger le mirror GCP Artifact Registry plutôt que l’upstream public. Écarté : un proxy pull-through peut renvoyer une date liée à son cache et non à la publication amont — il validerait potentiellement sa propre contamination. La date </w:t>
      </w:r>
      <w:r>
        <w:rPr>
          <w:b/>
          <w:bCs/>
        </w:rPr>
        <w:t xml:space="preserve">doit</w:t>
      </w:r>
      <w:r>
        <w:t xml:space="preserve"> provenir de la source publique faisant autorité.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2026-05-21T12:00:04.281Z</dcterms:created>
  <dcterms:modified xsi:type="dcterms:W3CDTF">2026-05-21T12:00:04.281Z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