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 — Un outil, un usage</w:t>
      </w:r>
    </w:p>
    <w:p>
      <w:pPr>
        <w:pBdr>
          <w:bottom w:val="single" w:color="2E75B6" w:sz="6" w:space="1"/>
        </w:pBdr>
        <w:spacing w:after="200"/>
      </w:pPr>
      <w:r>
        <w:rPr>
          <w:i/>
          <w:iCs/>
          <w:color w:val="666666"/>
        </w:rPr>
        <w:t xml:space="preserve">Axe 1 · Culture &amp; Rituels — Question 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outils collaboratifs (Teams, Jira, Confluence) sont-ils utilisés efficacement pour réduire les frictions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Outils utilisés de façon chaotique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Inventaire outillage réalisé (atelier #6)</w:t>
            </w:r>
          </w:p>
        </w:tc>
      </w:tr>
    </w:tbl>
    <w:p>
      <w:pPr>
        <w:pStyle w:val="Heading2"/>
      </w:pPr>
      <w:r>
        <w:t xml:space="preserve">Problématique</w:t>
      </w:r>
    </w:p>
    <w:p>
      <w:pPr>
        <w:spacing w:after="120"/>
      </w:pPr>
      <w:r>
        <w:t xml:space="preserve">L'inventaire (atelier #6) a montré les doublons : deux outils pour la doc, des décisions éparpillées entre Teams et Jira, des demandes qui arrivent par trois canaux. Maintenant il faut trancher : pour chaque type d'usage, UN outil de référence. Le sujet n'est pas de bannir des outils mais de désigner, par usage, la source de vérité — et surtout de faire tenir cette convention dans le temps. La difficulté n'est pas technique, elle est sociale : chacun a ses habitudes, et une convention que personne n'applique ne vaut rien. Le sujet : pourquoi « un outil par usage » réduit la friction, et comment décider sans que ça reste lettre morte.</w:t>
      </w:r>
    </w:p>
    <w:p>
      <w:pPr>
        <w:pStyle w:val="Heading2"/>
      </w:pPr>
      <w:r>
        <w:t xml:space="preserve">Pourquoi un outil par usage (réponse à porter)</w:t>
      </w:r>
    </w:p>
    <w:p>
      <w:pPr>
        <w:pStyle w:val="ListParagraph"/>
        <w:numPr>
          <w:ilvl w:val="0"/>
          <w:numId w:val="2"/>
        </w:numPr>
      </w:pPr>
      <w:r>
        <w:t xml:space="preserve">Une source de vérité unique par usage supprime la question « où est l'info à jour ? ». Si toutes les décisions sont dans Jira et toute la doc dans Confluence, on sait où chercher et où poster sans réfléchir. La charge cognitive de la dispersion disparaît.</w:t>
      </w:r>
    </w:p>
    <w:p>
      <w:pPr>
        <w:pStyle w:val="ListParagraph"/>
        <w:numPr>
          <w:ilvl w:val="0"/>
          <w:numId w:val="2"/>
        </w:numPr>
      </w:pPr>
      <w:r>
        <w:t xml:space="preserve">Désigner l'outil de référence ne veut pas dire interdire les autres : on peut discuter sur Teams, mais la décision actée atterrit dans l'outil de référence. La distinction « lieu d'échange » vs « source de vérité » est ce qui résout le faux dilemme « il faut tout mettre au même endroit ».</w:t>
      </w:r>
    </w:p>
    <w:p>
      <w:pPr>
        <w:pStyle w:val="ListParagraph"/>
        <w:numPr>
          <w:ilvl w:val="0"/>
          <w:numId w:val="2"/>
        </w:numPr>
      </w:pPr>
      <w:r>
        <w:t xml:space="preserve">Une convention claire est le seul moyen de ne perdre aucune demande : si toute demande passe par un canal unique avec un format, rien ne tombe entre les mailles. C'est l'équivalent organisationnel d'un point d'entrée unique dans un système.</w:t>
      </w:r>
    </w:p>
    <w:p>
      <w:pPr>
        <w:pStyle w:val="ListParagraph"/>
        <w:numPr>
          <w:ilvl w:val="0"/>
          <w:numId w:val="2"/>
        </w:numPr>
      </w:pPr>
      <w:r>
        <w:t xml:space="preserve">La convention bénéficie surtout aux nouveaux et aux parties prenantes externes : ils n'ont pas l'historique des habitudes, donc une règle écrite « tel usage = tel outil » les rend autonomes immédiatement.</w:t>
      </w:r>
    </w:p>
    <w:p>
      <w:pPr>
        <w:pStyle w:val="Heading2"/>
      </w:pPr>
      <w:r>
        <w:t xml:space="preserve">Comment décider sans que ça reste lettre morte (leviers concrets)</w:t>
      </w:r>
    </w:p>
    <w:p>
      <w:pPr>
        <w:pStyle w:val="ListParagraph"/>
        <w:numPr>
          <w:ilvl w:val="0"/>
          <w:numId w:val="2"/>
        </w:numPr>
      </w:pPr>
      <w:r>
        <w:t xml:space="preserve">Trancher par usage, pas par outil : on ne se demande pas « garde-t-on Teams ? » mais « où vivent les décisions ? où vit la doc ? où arrivent les demandes ? ». Pour chaque case, un seul outil gagnant. C'est moins clivant et ça évite les débats de chapelle.</w:t>
      </w:r>
    </w:p>
    <w:p>
      <w:pPr>
        <w:pStyle w:val="ListParagraph"/>
        <w:numPr>
          <w:ilvl w:val="0"/>
          <w:numId w:val="2"/>
        </w:numPr>
      </w:pPr>
      <w:r>
        <w:t xml:space="preserve">Distinguer explicitement échange et référence : pour chaque usage, dire où on peut discuter ET où la conclusion est consignée. Sans ça, la convention semble nier la réalité (« mais on parle bien sur Teams ! ») et personne ne l'applique.</w:t>
      </w:r>
    </w:p>
    <w:p>
      <w:pPr>
        <w:pStyle w:val="ListParagraph"/>
        <w:numPr>
          <w:ilvl w:val="0"/>
          <w:numId w:val="2"/>
        </w:numPr>
      </w:pPr>
      <w:r>
        <w:t xml:space="preserve">Écrire la convention en une page, visible et accessible : une règle non écrite n'existe pas. Une page courte (usage → outil → règle) consultable par tous, c'est le minimum pour qu'on puisse s'y référer et la faire respecter.</w:t>
      </w:r>
    </w:p>
    <w:p>
      <w:pPr>
        <w:pStyle w:val="ListParagraph"/>
        <w:numPr>
          <w:ilvl w:val="0"/>
          <w:numId w:val="2"/>
        </w:numPr>
      </w:pPr>
      <w:r>
        <w:t xml:space="preserve">Prévoir le contrôle social léger : se donner le droit de rediriger gentiment (« mets-le dans Jira stp ») quand quelqu'un poste au mauvais endroit. Une convention ne tient que si l'équipe se la rappelle mutuellement les premières semaines, le temps que le réflexe s'installe.</w:t>
      </w:r>
    </w:p>
    <w:p>
      <w:pPr>
        <w:pStyle w:val="Heading2"/>
      </w:pPr>
      <w:r>
        <w:t xml:space="preserve">Objectif de l'atelier</w:t>
      </w:r>
    </w:p>
    <w:p>
      <w:pPr>
        <w:spacing w:after="120"/>
      </w:pPr>
      <w:r>
        <w:t xml:space="preserve">À la sortie, la squad a tranché, pour chaque type d'usage, un outil de référence unique, en distinguant lieu d'échange et source de vérité. La convention est écrite en une page accessible, et l'équipe s'est donné un mécanisme de rappel mutuel pour les premières semaines. Le chaos outillage laisse place à des règles que chacun connaît et applique.</w:t>
      </w:r>
    </w:p>
    <w:p>
      <w:pPr>
        <w:pStyle w:val="Heading2"/>
      </w:pPr>
      <w:r>
        <w:t xml:space="preserve">Board Klaxoon</w:t>
      </w:r>
    </w:p>
    <w:p>
      <w:pPr>
        <w:spacing w:after="120"/>
      </w:pPr>
      <w:r>
        <w:rPr>
          <w:b/>
          <w:bCs/>
        </w:rPr>
        <w:t xml:space="preserve">Template recommandé : </w:t>
      </w:r>
      <w:r>
        <w:t xml:space="preserve">Gabarit de décision + Vote.</w:t>
      </w:r>
    </w:p>
    <w:p>
      <w:pPr>
        <w:spacing w:after="120"/>
      </w:pPr>
      <w:r>
        <w:t xml:space="preserve">Zones à créer sur le board :</w:t>
      </w:r>
    </w:p>
    <w:p>
      <w:pPr>
        <w:pStyle w:val="ListParagraph"/>
        <w:numPr>
          <w:ilvl w:val="0"/>
          <w:numId w:val="2"/>
        </w:numPr>
      </w:pPr>
      <w:r>
        <w:t xml:space="preserve">Tableau « Usage → Outil de référence » — lignes : Communication informelle / Décisions / Documentation / Suivi des tâches / Demandes entrantes / Fichiers. Pour chaque ligne, l'outil gagnant unique.</w:t>
      </w:r>
    </w:p>
    <w:p>
      <w:pPr>
        <w:pStyle w:val="ListParagraph"/>
        <w:numPr>
          <w:ilvl w:val="0"/>
          <w:numId w:val="2"/>
        </w:numPr>
      </w:pPr>
      <w:r>
        <w:t xml:space="preserve">Colonne « Échange vs Référence » — pour chaque usage, où on discute et où la conclusion est consignée.</w:t>
      </w:r>
    </w:p>
    <w:p>
      <w:pPr>
        <w:pStyle w:val="ListParagraph"/>
        <w:numPr>
          <w:ilvl w:val="0"/>
          <w:numId w:val="2"/>
        </w:numPr>
      </w:pPr>
      <w:r>
        <w:t xml:space="preserve">Capsule de vote — pour trancher les cases où plusieurs outils étaient en doublon (issues de l'inventaire #6).</w:t>
      </w:r>
    </w:p>
    <w:p>
      <w:pPr>
        <w:pStyle w:val="ListParagraph"/>
        <w:numPr>
          <w:ilvl w:val="0"/>
          <w:numId w:val="2"/>
        </w:numPr>
      </w:pPr>
      <w:r>
        <w:t xml:space="preserve">Zone « Notre règle de rappel » — comment on se reprend gentiment quand quelqu'un poste au mauvais endroit.</w:t>
      </w:r>
    </w:p>
    <w:p>
      <w:pPr>
        <w:pStyle w:val="Heading2"/>
      </w:pPr>
      <w:r>
        <w:t xml:space="preserve">Déroulé minuté</w:t>
      </w:r>
    </w:p>
    <w:p>
      <w:pPr>
        <w:pStyle w:val="ListParagraph"/>
        <w:numPr>
          <w:ilvl w:val="0"/>
          <w:numId w:val="3"/>
        </w:numPr>
      </w:pPr>
      <w:r>
        <w:t xml:space="preserve">(5 min) Cadrage — l'animateur rappelle les doublons de l'inventaire #6 et pose la règle : un outil par usage, on tranche par usage pas par outil.</w:t>
      </w:r>
    </w:p>
    <w:p>
      <w:pPr>
        <w:pStyle w:val="ListParagraph"/>
        <w:numPr>
          <w:ilvl w:val="0"/>
          <w:numId w:val="3"/>
        </w:numPr>
      </w:pPr>
      <w:r>
        <w:t xml:space="preserve">(10 min) Remplir le tableau usage → outil — pour chaque type d'usage, l'équipe propose l'outil de référence. Les cas évidents passent vite.</w:t>
      </w:r>
    </w:p>
    <w:p>
      <w:pPr>
        <w:pStyle w:val="ListParagraph"/>
        <w:numPr>
          <w:ilvl w:val="0"/>
          <w:numId w:val="3"/>
        </w:numPr>
      </w:pPr>
      <w:r>
        <w:t xml:space="preserve">(10 min) Trancher les doublons — sur les cases litigieuses (deux outils pour la doc, décisions éparpillées), on vote via Klaxoon. Décision actée.</w:t>
      </w:r>
    </w:p>
    <w:p>
      <w:pPr>
        <w:pStyle w:val="ListParagraph"/>
        <w:numPr>
          <w:ilvl w:val="0"/>
          <w:numId w:val="3"/>
        </w:numPr>
      </w:pPr>
      <w:r>
        <w:t xml:space="preserve">(10 min) Échange vs référence — pour chaque usage, on précise où on peut discuter et où la conclusion atterrit, pour lever le « mais on parle sur Teams ».</w:t>
      </w:r>
    </w:p>
    <w:p>
      <w:pPr>
        <w:pStyle w:val="ListParagraph"/>
        <w:numPr>
          <w:ilvl w:val="0"/>
          <w:numId w:val="3"/>
        </w:numPr>
      </w:pPr>
      <w:r>
        <w:t xml:space="preserve">(5 min) Écrire la convention — on rédige la page « usage → outil → règle » directement sur le board, prête à publier.</w:t>
      </w:r>
    </w:p>
    <w:p>
      <w:pPr>
        <w:pStyle w:val="ListParagraph"/>
        <w:numPr>
          <w:ilvl w:val="0"/>
          <w:numId w:val="3"/>
        </w:numPr>
      </w:pPr>
      <w:r>
        <w:t xml:space="preserve">(5 min) Mécanisme de rappel — on se met d'accord sur le droit de rediriger gentiment, et où la convention sera publiée (épinglée Teams, page Confluence).</w:t>
      </w:r>
    </w:p>
    <w:p>
      <w:pPr>
        <w:pStyle w:val="Heading2"/>
      </w:pPr>
      <w:r>
        <w:t xml:space="preserve">Livrable de l'atelier</w:t>
      </w:r>
    </w:p>
    <w:p>
      <w:pPr>
        <w:pStyle w:val="ListParagraph"/>
        <w:numPr>
          <w:ilvl w:val="0"/>
          <w:numId w:val="2"/>
        </w:numPr>
      </w:pPr>
      <w:r>
        <w:t xml:space="preserve">Board Klaxoon capturé : tableau usage → outil de référence, distinction échange/référence, règle de rappel.</w:t>
      </w:r>
    </w:p>
    <w:p>
      <w:pPr>
        <w:pStyle w:val="ListParagraph"/>
        <w:numPr>
          <w:ilvl w:val="0"/>
          <w:numId w:val="2"/>
        </w:numPr>
      </w:pPr>
      <w:r>
        <w:t xml:space="preserve">Convention « un outil, un usage » écrite en une page, publiée et accessible à tous.</w:t>
      </w:r>
    </w:p>
    <w:p>
      <w:pPr>
        <w:pStyle w:val="ListParagraph"/>
        <w:numPr>
          <w:ilvl w:val="0"/>
          <w:numId w:val="2"/>
        </w:numPr>
      </w:pPr>
      <w:r>
        <w:t xml:space="preserve">Accord d'équipe sur le rappel mutuel pendant la phase d'installation.</w:t>
      </w:r>
    </w:p>
    <w:p>
      <w:pPr>
        <w:pStyle w:val="Heading2"/>
      </w:pPr>
      <w:r>
        <w:t xml:space="preserve">Critère de réussite</w:t>
      </w:r>
    </w:p>
    <w:p>
      <w:pPr>
        <w:spacing w:after="120"/>
      </w:pPr>
      <w:r>
        <w:t xml:space="preserve">Trois semaines après, chaque type d'usage a une source de vérité unique réellement respectée : les décisions se retrouvent toutes au même endroit, les demandes passent par un canal unique, plus personne ne cherche « où est la bonne version ». Les redirections mutuelles se raréfient, signe que le réflexe est installé.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2026-06-08T09:56:08.795Z</dcterms:created>
  <dcterms:modified xsi:type="dcterms:W3CDTF">2026-06-08T09:56:08.796Z</dcterms:modified>
</cp:coreProperties>
</file>

<file path=docProps/custom.xml><?xml version="1.0" encoding="utf-8"?>
<Properties xmlns="http://schemas.openxmlformats.org/officeDocument/2006/custom-properties" xmlns:vt="http://schemas.openxmlformats.org/officeDocument/2006/docPropsVTypes"/>
</file>