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#70 — Adopter notre convention de version</w:t>
      </w:r>
    </w:p>
    <w:p>
      <w:pPr>
        <w:spacing w:after="160"/>
      </w:pPr>
      <w:r>
        <w:rPr>
          <w:i/>
          <w:iCs/>
        </w:rPr>
        <w:t xml:space="preserve">Axe Toolchain CI/CD — Question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un système de versioning avec des releases taguées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Tags occasionnels, pas de convention : la fixer et la trancher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et historique des changements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Releases taguées (de « parfois » à « selon une règle écrite et tenue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on construit la grille de décision sur de vrais changements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Première release posée (#68), sens du versioning ancré (#69)</w:t>
            </w:r>
          </w:p>
        </w:tc>
      </w:tr>
    </w:tbl>
    <w:p>
      <w:pPr>
        <w:pStyle w:val="Heading2"/>
      </w:pPr>
      <w:r>
        <w:t xml:space="preserve">Problématique</w:t>
      </w:r>
    </w:p>
    <w:p>
      <w:pPr>
        <w:spacing w:after="120"/>
      </w:pPr>
      <w:r>
        <w:t xml:space="preserve">La squad tague maintenant, mais au feeling : un v1.0.0 par-ci, un v1.1 par-là, parfois rien. Le geste existe (#68), le sens est compris (#69) — il manque la règle. Or sans convention écrite et partagée, deux personnes de la même squad incrémentent différemment le même type de changement : l’une passe en MINOR ce que l’autre aurait mis en PATCH. Le numéro perd alors exactement ce qui faisait sa valeur : sa lisibilité pour ceux qui dépendent du livrable. Une version qui ne suit pas de règle ne dit plus rien. Le sujet de cet atelier est de transformer la pratique intuitive en convention explicite : adopter ensemble le standard vMAJOR.MINOR.PATCH, et surtout trancher les cas limites propres à CE projet — ceux qui font hésiter — pour qu’au prochain changement, personne n’improvise et que tout le monde incrémente pareil.</w:t>
      </w:r>
    </w:p>
    <w:p>
      <w:pPr>
        <w:pStyle w:val="Heading2"/>
      </w:pPr>
      <w:r>
        <w:t xml:space="preserve">Pourquoi une convention écrite (réponse à porter)</w:t>
      </w:r>
    </w:p>
    <w:p>
      <w:pPr>
        <w:pStyle w:val="ListParagraph"/>
        <w:numPr>
          <w:ilvl w:val="0"/>
          <w:numId w:val="2"/>
        </w:numPr>
        <w:spacing w:after="80"/>
      </w:pPr>
      <w:r>
        <w:t xml:space="preserve">Une règle au feeling n’est pas une règle : tant que l’incrément dépend du jugement de celui qui tague ce jour-là, le numéro devient incohérent. Deux PATCH qui auraient dû être un MINOR, un MAJOR oublié parce qu’on n’a pas vu la rupture — et le contrat semver promis au consommateur (#69) est rompu. La convention écrite est ce qui rend le numéro fiable.</w:t>
      </w:r>
    </w:p>
    <w:p>
      <w:pPr>
        <w:pStyle w:val="ListParagraph"/>
        <w:numPr>
          <w:ilvl w:val="0"/>
          <w:numId w:val="2"/>
        </w:numPr>
        <w:spacing w:after="80"/>
      </w:pPr>
      <w:r>
        <w:t xml:space="preserve">Les cas faciles ne sont pas le problème : un bug corrigé, tout le monde sait que c’est un PATCH. La valeur d’une convention se joue sur les cas tordus, ceux qui font débattre : un changement de format de log, une dépendance majeure mise à jour, un comportement par défaut modifié. Si la squad ne tranche pas ces cas à froid, elle les tranchera au hasard à chaud.</w:t>
      </w:r>
    </w:p>
    <w:p>
      <w:pPr>
        <w:pStyle w:val="ListParagraph"/>
        <w:numPr>
          <w:ilvl w:val="0"/>
          <w:numId w:val="2"/>
        </w:numPr>
        <w:spacing w:after="80"/>
      </w:pPr>
      <w:r>
        <w:t xml:space="preserve">La convention doit être propre au projet, pas générique : la définition de « rupture » dépend de ce que le projet expose. Pour une lib, changer une signature de fonction est MAJOR. Pour un service avec une API REST, c’est un endpoint modifié. Pour un batch, c’est peut-être le format d’un fichier de sortie. La squad doit traduire semver dans SES termes, sinon la règle reste abstraite et inappliquée.</w:t>
      </w:r>
    </w:p>
    <w:p>
      <w:pPr>
        <w:pStyle w:val="ListParagraph"/>
        <w:numPr>
          <w:ilvl w:val="0"/>
          <w:numId w:val="2"/>
        </w:numPr>
        <w:spacing w:after="80"/>
      </w:pPr>
      <w:r>
        <w:t xml:space="preserve">Écrite et accessible, la convention survit aux départs : une règle dans la tête d’une personne part avec elle. Consignée dans le repo (un CONTRIBUTING ou un VERSIONING.md), elle s’impose au nouveau dès le premier tag et n’a plus besoin d’être re-débattue. C’est ce qui fait passer la pratique de « ce que fait l’ancien » à « ce que fait la squad ».</w:t>
      </w:r>
    </w:p>
    <w:p>
      <w:pPr>
        <w:pStyle w:val="Heading2"/>
      </w:pPr>
      <w:r>
        <w:t xml:space="preserve">Construire la grille de décision (cœur de l’atelier)</w:t>
      </w:r>
    </w:p>
    <w:p>
      <w:pPr>
        <w:spacing w:after="120"/>
      </w:pPr>
      <w:r>
        <w:t xml:space="preserve">On ne récite pas la norme semver : on la traduit pour le projet en classant de VRAIS changements récents. La squad reprend son historique et range chaque changement notable dans la bonne case — c’est en arbitrant les cas réels que la convention se fixe.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GRILLE DE DÉCISION — vMAJOR.MINOR.PATCH pour CE projet</w:t>
            </w:r>
          </w:p>
          <w:p>
            <w:r>
              <w:rPr>
                <w:rFonts w:ascii="Consolas" w:cs="Consolas" w:eastAsia="Consolas" w:hAnsi="Consolas"/>
                <w:sz w:val="18"/>
                <w:szCs w:val="18"/>
              </w:rPr>
              <w:t xml:space="preserve"> </w:t>
            </w:r>
          </w:p>
          <w:p>
            <w:r>
              <w:rPr>
                <w:rFonts w:ascii="Consolas" w:cs="Consolas" w:eastAsia="Consolas" w:hAnsi="Consolas"/>
                <w:sz w:val="18"/>
                <w:szCs w:val="18"/>
              </w:rPr>
              <w:t xml:space="preserve">  MAJOR (X.0.0) — le consommateur DOIT adapter son code</w:t>
            </w:r>
          </w:p>
          <w:p>
            <w:r>
              <w:rPr>
                <w:rFonts w:ascii="Consolas" w:cs="Consolas" w:eastAsia="Consolas" w:hAnsi="Consolas"/>
                <w:sz w:val="18"/>
                <w:szCs w:val="18"/>
              </w:rPr>
              <w:t xml:space="preserve">    Exemples à compléter par la squad :</w:t>
            </w:r>
          </w:p>
          <w:p>
            <w:r>
              <w:rPr>
                <w:rFonts w:ascii="Consolas" w:cs="Consolas" w:eastAsia="Consolas" w:hAnsi="Consolas"/>
                <w:sz w:val="18"/>
                <w:szCs w:val="18"/>
              </w:rPr>
              <w:t xml:space="preserve">      - [ rupture d'API / signature / contrat exposé ]</w:t>
            </w:r>
          </w:p>
          <w:p>
            <w:r>
              <w:rPr>
                <w:rFonts w:ascii="Consolas" w:cs="Consolas" w:eastAsia="Consolas" w:hAnsi="Consolas"/>
                <w:sz w:val="18"/>
                <w:szCs w:val="18"/>
              </w:rPr>
              <w:t xml:space="preserve">      - [ changement de comportement par défaut ]</w:t>
            </w:r>
          </w:p>
          <w:p>
            <w:r>
              <w:rPr>
                <w:rFonts w:ascii="Consolas" w:cs="Consolas" w:eastAsia="Consolas" w:hAnsi="Consolas"/>
                <w:sz w:val="18"/>
                <w:szCs w:val="18"/>
              </w:rPr>
              <w:t xml:space="preserve">      - [ format d'entrée ou de sortie modifié ]</w:t>
            </w:r>
          </w:p>
          <w:p>
            <w:r>
              <w:rPr>
                <w:rFonts w:ascii="Consolas" w:cs="Consolas" w:eastAsia="Consolas" w:hAnsi="Consolas"/>
                <w:sz w:val="18"/>
                <w:szCs w:val="18"/>
              </w:rPr>
              <w:t xml:space="preserve"> </w:t>
            </w:r>
          </w:p>
          <w:p>
            <w:r>
              <w:rPr>
                <w:rFonts w:ascii="Consolas" w:cs="Consolas" w:eastAsia="Consolas" w:hAnsi="Consolas"/>
                <w:sz w:val="18"/>
                <w:szCs w:val="18"/>
              </w:rPr>
              <w:t xml:space="preserve">  MINOR (x.Y.0) — ajout rétrocompatible, MAJ sans risque</w:t>
            </w:r>
          </w:p>
          <w:p>
            <w:r>
              <w:rPr>
                <w:rFonts w:ascii="Consolas" w:cs="Consolas" w:eastAsia="Consolas" w:hAnsi="Consolas"/>
                <w:sz w:val="18"/>
                <w:szCs w:val="18"/>
              </w:rPr>
              <w:t xml:space="preserve">    Exemples à compléter par la squad :</w:t>
            </w:r>
          </w:p>
          <w:p>
            <w:r>
              <w:rPr>
                <w:rFonts w:ascii="Consolas" w:cs="Consolas" w:eastAsia="Consolas" w:hAnsi="Consolas"/>
                <w:sz w:val="18"/>
                <w:szCs w:val="18"/>
              </w:rPr>
              <w:t xml:space="preserve">      - [ nouvel endpoint / nouvelle option / nouvelle capacité ]</w:t>
            </w:r>
          </w:p>
          <w:p>
            <w:r>
              <w:rPr>
                <w:rFonts w:ascii="Consolas" w:cs="Consolas" w:eastAsia="Consolas" w:hAnsi="Consolas"/>
                <w:sz w:val="18"/>
                <w:szCs w:val="18"/>
              </w:rPr>
              <w:t xml:space="preserve">      - [ dépréciation annoncée mais pas encore retirée ]</w:t>
            </w:r>
          </w:p>
          <w:p>
            <w:r>
              <w:rPr>
                <w:rFonts w:ascii="Consolas" w:cs="Consolas" w:eastAsia="Consolas" w:hAnsi="Consolas"/>
                <w:sz w:val="18"/>
                <w:szCs w:val="18"/>
              </w:rPr>
              <w:t xml:space="preserve"> </w:t>
            </w:r>
          </w:p>
          <w:p>
            <w:r>
              <w:rPr>
                <w:rFonts w:ascii="Consolas" w:cs="Consolas" w:eastAsia="Consolas" w:hAnsi="Consolas"/>
                <w:sz w:val="18"/>
                <w:szCs w:val="18"/>
              </w:rPr>
              <w:t xml:space="preserve">  PATCH (x.y.Z) — correctif, aucun changement visible</w:t>
            </w:r>
          </w:p>
          <w:p>
            <w:r>
              <w:rPr>
                <w:rFonts w:ascii="Consolas" w:cs="Consolas" w:eastAsia="Consolas" w:hAnsi="Consolas"/>
                <w:sz w:val="18"/>
                <w:szCs w:val="18"/>
              </w:rPr>
              <w:t xml:space="preserve">    Exemples à compléter par la squad :</w:t>
            </w:r>
          </w:p>
          <w:p>
            <w:r>
              <w:rPr>
                <w:rFonts w:ascii="Consolas" w:cs="Consolas" w:eastAsia="Consolas" w:hAnsi="Consolas"/>
                <w:sz w:val="18"/>
                <w:szCs w:val="18"/>
              </w:rPr>
              <w:t xml:space="preserve">      - [ correction de bug sans impact sur le contrat ]</w:t>
            </w:r>
          </w:p>
          <w:p>
            <w:r>
              <w:rPr>
                <w:rFonts w:ascii="Consolas" w:cs="Consolas" w:eastAsia="Consolas" w:hAnsi="Consolas"/>
                <w:sz w:val="18"/>
                <w:szCs w:val="18"/>
              </w:rPr>
              <w:t xml:space="preserve">      - [ correctif de sécurité interne, perf ]</w:t>
            </w:r>
          </w:p>
          <w:p>
            <w:r>
              <w:rPr>
                <w:rFonts w:ascii="Consolas" w:cs="Consolas" w:eastAsia="Consolas" w:hAnsi="Consolas"/>
                <w:sz w:val="18"/>
                <w:szCs w:val="18"/>
              </w:rPr>
              <w:t xml:space="preserve"> </w:t>
            </w:r>
          </w:p>
          <w:p>
            <w:r>
              <w:rPr>
                <w:rFonts w:ascii="Consolas" w:cs="Consolas" w:eastAsia="Consolas" w:hAnsi="Consolas"/>
                <w:sz w:val="18"/>
                <w:szCs w:val="18"/>
              </w:rPr>
              <w:t xml:space="preserve">  CAS LIMITES TRANCHÉS (le plus important) :</w:t>
            </w:r>
          </w:p>
          <w:p>
            <w:r>
              <w:rPr>
                <w:rFonts w:ascii="Consolas" w:cs="Consolas" w:eastAsia="Consolas" w:hAnsi="Consolas"/>
                <w:sz w:val="18"/>
                <w:szCs w:val="18"/>
              </w:rPr>
              <w:t xml:space="preserve">      - changement de format de log     -&gt; [ MINOR / MAJOR ? ]</w:t>
            </w:r>
          </w:p>
          <w:p>
            <w:r>
              <w:rPr>
                <w:rFonts w:ascii="Consolas" w:cs="Consolas" w:eastAsia="Consolas" w:hAnsi="Consolas"/>
                <w:sz w:val="18"/>
                <w:szCs w:val="18"/>
              </w:rPr>
              <w:t xml:space="preserve">      - bump d'une dépendance majeure    -&gt; [ selon impact exposé ]</w:t>
            </w:r>
          </w:p>
          <w:p>
            <w:r>
              <w:rPr>
                <w:rFonts w:ascii="Consolas" w:cs="Consolas" w:eastAsia="Consolas" w:hAnsi="Consolas"/>
                <w:sz w:val="18"/>
                <w:szCs w:val="18"/>
              </w:rPr>
              <w:t xml:space="preserve">      - modif d'un message d'erreur      -&gt; [ PATCH sauf si contractuel ]</w:t>
            </w:r>
          </w:p>
          <w:p>
            <w:r>
              <w:rPr>
                <w:rFonts w:ascii="Consolas" w:cs="Consolas" w:eastAsia="Consolas" w:hAnsi="Consolas"/>
                <w:sz w:val="18"/>
                <w:szCs w:val="18"/>
              </w:rPr>
              <w:t xml:space="preserve">      - pré-1.0 : règles assouplies ?    -&gt; [ décision squad ]</w:t>
            </w:r>
          </w:p>
        </w:tc>
      </w:tr>
    </w:tbl>
    <w:p>
      <w:pPr>
        <w:pStyle w:val="Heading2"/>
      </w:pPr>
      <w:r>
        <w:t xml:space="preserve">Comment fixer la convention (leviers concrets)</w:t>
      </w:r>
    </w:p>
    <w:p>
      <w:pPr>
        <w:pStyle w:val="ListParagraph"/>
        <w:numPr>
          <w:ilvl w:val="0"/>
          <w:numId w:val="2"/>
        </w:numPr>
        <w:spacing w:after="80"/>
      </w:pPr>
      <w:r>
        <w:t xml:space="preserve">Partir de l’historique réel, pas d’exemples inventés : reprendre les 5 à 10 derniers changements notables du projet et les classer ensemble. Le débat sur un cas réel (« ça, c’était un MINOR ou un MAJOR ? ») fixe la règle bien mieux qu’un cours sur semver.</w:t>
      </w:r>
    </w:p>
    <w:p>
      <w:pPr>
        <w:pStyle w:val="ListParagraph"/>
        <w:numPr>
          <w:ilvl w:val="0"/>
          <w:numId w:val="2"/>
        </w:numPr>
        <w:spacing w:after="80"/>
      </w:pPr>
      <w:r>
        <w:t xml:space="preserve">Trancher explicitement les cas limites du projet : lister les changements qui font hésiter dans CE contexte et décider, à froid, dans quelle case ils tombent. C’est le livrable à plus forte valeur — ce sont ces cas qui, non tranchés, font dériver les numéros.</w:t>
      </w:r>
    </w:p>
    <w:p>
      <w:pPr>
        <w:pStyle w:val="ListParagraph"/>
        <w:numPr>
          <w:ilvl w:val="0"/>
          <w:numId w:val="2"/>
        </w:numPr>
        <w:spacing w:after="80"/>
      </w:pPr>
      <w:r>
        <w:t xml:space="preserve">Décider du sort du pré-1.0 si pertinent : si le projet n’a pas encore d’API stable, la squad peut choisir de rester en 0.y.z (où la norme autorise des ruptures en MINOR) et fixer </w:t>
      </w:r>
      <w:r>
        <w:rPr>
          <w:i/>
          <w:iCs/>
        </w:rPr>
        <w:t xml:space="preserve">quand</w:t>
      </w:r>
      <w:r>
        <w:t xml:space="preserve"> elle passera en 1.0.0 — le signal « maintenant, on s’engage sur la stabilité ».</w:t>
      </w:r>
    </w:p>
    <w:p>
      <w:pPr>
        <w:pStyle w:val="ListParagraph"/>
        <w:numPr>
          <w:ilvl w:val="0"/>
          <w:numId w:val="2"/>
        </w:numPr>
        <w:spacing w:after="80"/>
      </w:pPr>
      <w:r>
        <w:t xml:space="preserve">Consigner la convention DANS le repo : écrire la grille adoptée dans un fichier versionné (VERSIONING.md ou section du CONTRIBUTING), pas dans un coin de Confluence oublié. La règle doit vivre là où on tague, accessible au prochain qui crée une release.</w:t>
      </w:r>
    </w:p>
    <w:p>
      <w:pPr>
        <w:pStyle w:val="Heading2"/>
      </w:pPr>
      <w:r>
        <w:t xml:space="preserve">Objectif de l’atelier</w:t>
      </w:r>
    </w:p>
    <w:p>
      <w:pPr>
        <w:spacing w:after="120"/>
      </w:pPr>
      <w:r>
        <w:t xml:space="preserve">À la sortie, la squad a une convention de version écrite, adoptée ensemble et consignée dans le repo : la grille MAJOR/MINOR/PATCH traduite dans les termes du projet, avec les cas limites qui faisaient hésiter explicitement tranchés. Le versioning n’est plus au feeling — au prochain changement, n’importe qui dans la squad incrémentera de la même façon. Le numéro de version redevient fiable, donc tient sa promesse de lisibilité pour ceux qui dépendent du livrable (#69). On est passé de « on tague parfois, à notre idée » à « on tague selon une règle écrite et tenue ».</w:t>
      </w:r>
    </w:p>
    <w:p>
      <w:pPr>
        <w:pStyle w:val="Heading2"/>
      </w:pPr>
      <w:r>
        <w:t xml:space="preserve">Board Klaxoon</w:t>
      </w:r>
    </w:p>
    <w:p>
      <w:pPr>
        <w:spacing w:after="120"/>
      </w:pPr>
      <w:r>
        <w:rPr>
          <w:b w:val="false"/>
          <w:bCs w:val="false"/>
        </w:rPr>
        <w:t xml:space="preserve">Template recommandé : Grille de décision semver (l’essentiel se construit sur l’historique réel).</w:t>
      </w:r>
    </w:p>
    <w:p>
      <w:pPr>
        <w:pStyle w:val="ListParagraph"/>
        <w:numPr>
          <w:ilvl w:val="0"/>
          <w:numId w:val="2"/>
        </w:numPr>
        <w:spacing w:after="80"/>
      </w:pPr>
      <w:r>
        <w:t xml:space="preserve">Zone « MAJOR / MINOR / PATCH » — les trois cases, remplies avec des exemples tirés du projet.</w:t>
      </w:r>
    </w:p>
    <w:p>
      <w:pPr>
        <w:pStyle w:val="ListParagraph"/>
        <w:numPr>
          <w:ilvl w:val="0"/>
          <w:numId w:val="2"/>
        </w:numPr>
        <w:spacing w:after="80"/>
      </w:pPr>
      <w:r>
        <w:t xml:space="preserve">Zone « Nos changements récents classés » — les 5-10 derniers changements notables rangés dans la bonne case.</w:t>
      </w:r>
    </w:p>
    <w:p>
      <w:pPr>
        <w:pStyle w:val="ListParagraph"/>
        <w:numPr>
          <w:ilvl w:val="0"/>
          <w:numId w:val="2"/>
        </w:numPr>
        <w:spacing w:after="80"/>
      </w:pPr>
      <w:r>
        <w:t xml:space="preserve">Zone « Cas limites tranchés » — les changements qui faisaient hésiter, et la décision posée pour chacun.</w:t>
      </w:r>
    </w:p>
    <w:p>
      <w:pPr>
        <w:pStyle w:val="ListParagraph"/>
        <w:numPr>
          <w:ilvl w:val="0"/>
          <w:numId w:val="2"/>
        </w:numPr>
        <w:spacing w:after="80"/>
      </w:pPr>
      <w:r>
        <w:t xml:space="preserve">Zone « Où c’est écrit » — l’emplacement dans le repo où la convention est consignée (VERSIONING.md / CONTRIBUTING).</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on sait taguer et pourquoi, aujourd’hui on fixe la RÈGLE pour que tout le monde incrémente pareil.</w:t>
      </w:r>
    </w:p>
    <w:p>
      <w:pPr>
        <w:pStyle w:val="ListParagraph"/>
        <w:numPr>
          <w:ilvl w:val="0"/>
          <w:numId w:val="2"/>
        </w:numPr>
        <w:spacing w:after="80"/>
      </w:pPr>
      <w:r>
        <w:rPr>
          <w:b/>
          <w:bCs/>
        </w:rPr>
        <w:t xml:space="preserve">(10 min) Poser les trois cases</w:t>
      </w:r>
      <w:r>
        <w:t xml:space="preserve"> — définir MAJOR / MINOR / PATCH dans les termes du projet : qu’expose-t-on, et qu’est-ce qui constitue une rupture ici ?</w:t>
      </w:r>
    </w:p>
    <w:p>
      <w:pPr>
        <w:pStyle w:val="ListParagraph"/>
        <w:numPr>
          <w:ilvl w:val="0"/>
          <w:numId w:val="2"/>
        </w:numPr>
        <w:spacing w:after="80"/>
      </w:pPr>
      <w:r>
        <w:rPr>
          <w:b/>
          <w:bCs/>
        </w:rPr>
        <w:t xml:space="preserve">(10 min) Classer l’historique réel</w:t>
      </w:r>
      <w:r>
        <w:t xml:space="preserve"> — reprendre les derniers changements notables du projet et les ranger ensemble dans les bonnes cases.</w:t>
      </w:r>
    </w:p>
    <w:p>
      <w:pPr>
        <w:pStyle w:val="ListParagraph"/>
        <w:numPr>
          <w:ilvl w:val="0"/>
          <w:numId w:val="2"/>
        </w:numPr>
        <w:spacing w:after="80"/>
      </w:pPr>
      <w:r>
        <w:rPr>
          <w:b/>
          <w:bCs/>
        </w:rPr>
        <w:t xml:space="preserve">(10 min) Trancher les cas limites</w:t>
      </w:r>
      <w:r>
        <w:t xml:space="preserve"> — lister les changements qui font hésiter dans ce projet et décider, à froid, leur classement. Le cœur de la valeur.</w:t>
      </w:r>
    </w:p>
    <w:p>
      <w:pPr>
        <w:pStyle w:val="ListParagraph"/>
        <w:numPr>
          <w:ilvl w:val="0"/>
          <w:numId w:val="2"/>
        </w:numPr>
        <w:spacing w:after="80"/>
      </w:pPr>
      <w:r>
        <w:rPr>
          <w:b/>
          <w:bCs/>
        </w:rPr>
        <w:t xml:space="preserve">(5 min) Consigner dans le repo</w:t>
      </w:r>
      <w:r>
        <w:t xml:space="preserve"> — écrire la convention adoptée dans un fichier versionné, là où on crée les releases.</w:t>
      </w:r>
    </w:p>
    <w:p>
      <w:pPr>
        <w:pStyle w:val="ListParagraph"/>
        <w:numPr>
          <w:ilvl w:val="0"/>
          <w:numId w:val="2"/>
        </w:numPr>
        <w:spacing w:after="80"/>
      </w:pPr>
      <w:r>
        <w:rPr>
          <w:b/>
          <w:bCs/>
        </w:rPr>
        <w:t xml:space="preserve">(5 min) Débrief</w:t>
      </w:r>
      <w:r>
        <w:t xml:space="preserve"> — on vérifie : au prochain changement, chacun saurait l’incrémenter de la même façon. La règle existe, écrite et tenue.</w:t>
      </w:r>
    </w:p>
    <w:p>
      <w:pPr>
        <w:pStyle w:val="Heading2"/>
      </w:pPr>
      <w:r>
        <w:t xml:space="preserve">Livrable de l’atelier</w:t>
      </w:r>
    </w:p>
    <w:p>
      <w:pPr>
        <w:pStyle w:val="ListParagraph"/>
        <w:numPr>
          <w:ilvl w:val="0"/>
          <w:numId w:val="2"/>
        </w:numPr>
        <w:spacing w:after="80"/>
      </w:pPr>
      <w:r>
        <w:t xml:space="preserve">La grille MAJOR/MINOR/PATCH traduite dans les termes du projet, avec exemples réels.</w:t>
      </w:r>
    </w:p>
    <w:p>
      <w:pPr>
        <w:pStyle w:val="ListParagraph"/>
        <w:numPr>
          <w:ilvl w:val="0"/>
          <w:numId w:val="2"/>
        </w:numPr>
        <w:spacing w:after="80"/>
      </w:pPr>
      <w:r>
        <w:t xml:space="preserve">Les derniers changements notables du projet classés dans les bonnes cases.</w:t>
      </w:r>
    </w:p>
    <w:p>
      <w:pPr>
        <w:pStyle w:val="ListParagraph"/>
        <w:numPr>
          <w:ilvl w:val="0"/>
          <w:numId w:val="2"/>
        </w:numPr>
        <w:spacing w:after="80"/>
      </w:pPr>
      <w:r>
        <w:t xml:space="preserve">Les cas limites propres au projet explicitement tranchés (le livrable à plus forte valeur).</w:t>
      </w:r>
    </w:p>
    <w:p>
      <w:pPr>
        <w:pStyle w:val="ListParagraph"/>
        <w:numPr>
          <w:ilvl w:val="0"/>
          <w:numId w:val="2"/>
        </w:numPr>
        <w:spacing w:after="80"/>
      </w:pPr>
      <w:r>
        <w:t xml:space="preserve">La convention consignée dans un fichier versionné du repo (VERSIONING.md ou section CONTRIBUTING).</w:t>
      </w:r>
    </w:p>
    <w:p>
      <w:pPr>
        <w:pStyle w:val="Heading2"/>
      </w:pPr>
      <w:r>
        <w:t xml:space="preserve">Articulation D04 (anti-doublon)</w:t>
      </w:r>
    </w:p>
    <w:p>
      <w:pPr>
        <w:spacing w:after="120"/>
      </w:pPr>
      <w:r>
        <w:t xml:space="preserve">Cet atelier ne refait ni le #68 ni le #69 : le #68 crée le tag (le geste), le #69 ancre le sens vu du consommateur (le pourquoi), le #70 fixe la règle d’incrément pour le projet (le comment, écrit). Le sens de semver vu au #69 — MAJOR/MINOR/PATCH par leur effet sur l’autre — est ici réinvesti, pas réexpliqué : on l’applique pour produire une convention tranchée. La suite logique (#71) portera sur l’automatisation du tag, où se posera l’arbitrage conventional-commits relevé par le coach ; la convention écrite ici en est le prérequis.</w:t>
      </w:r>
    </w:p>
    <w:p>
      <w:pPr>
        <w:pStyle w:val="Heading2"/>
      </w:pPr>
      <w:r>
        <w:t xml:space="preserve">Critère de réussite</w:t>
      </w:r>
    </w:p>
    <w:p>
      <w:pPr>
        <w:spacing w:after="120"/>
      </w:pPr>
      <w:r>
        <w:t xml:space="preserve">La squad dispose d’une convention de version écrite, adoptée ensemble et consignée dans le repo : la grille semver traduite dans les termes du projet, et surtout les cas limites qui faisaient hésiter explicitement tranchés. Le versioning n’est plus intuitif et incohérent : au prochain changement, n’importe quel membre incrémentera de la même façon. Le numéro redevient fiable et tient sa promesse de lisibilité envers les équipes dépendantes. La question D04 progresse de son palier d’entrée vers la systématisation : la pratique a maintenant une règle, prête à être automatisée au palier suivant.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2026-06-26T08:48:15.401Z</dcterms:created>
  <dcterms:modified xsi:type="dcterms:W3CDTF">2026-06-26T08:48:15.426Z</dcterms:modified>
</cp:coreProperties>
</file>

<file path=docProps/custom.xml><?xml version="1.0" encoding="utf-8"?>
<Properties xmlns="http://schemas.openxmlformats.org/officeDocument/2006/custom-properties" xmlns:vt="http://schemas.openxmlformats.org/officeDocument/2006/docPropsVTypes"/>
</file>