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#107 — Adopter un outil de feature flags</w:t>
      </w:r>
    </w:p>
    <w:p>
      <w:pPr>
        <w:spacing w:after="160"/>
      </w:pPr>
      <w:r>
        <w:rPr>
          <w:i/>
          <w:iCs/>
        </w:rPr>
        <w:t xml:space="preserve">Axe Pratiques DevOps — Question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des feature flags pour découpler déploiement et activation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Quelques flags informels (variables d’env) : se structurer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flags informels existants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(passer du bricolage à un outil structuré)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choix et mise en place d’un outil de feature flags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Premier flag posé (#106), capsule #105 lue</w:t>
            </w:r>
          </w:p>
        </w:tc>
      </w:tr>
    </w:tbl>
    <w:p>
      <w:pPr>
        <w:pStyle w:val="Heading2"/>
      </w:pPr>
      <w:r>
        <w:t xml:space="preserve">Problématique</w:t>
      </w:r>
    </w:p>
    <w:p>
      <w:pPr>
        <w:spacing w:after="120"/>
      </w:pPr>
      <w:r>
        <w:t xml:space="preserve">La squad a posé des flags, mais de façon informelle : des variables d’environnement, des conditions en dur, dispersées. Ça marche pour un ou deux flags, mais ça ne passe pas l’échelle : on ne sait pas quels flags existent, qui les a allumés, comment les changer sans redéployer, ni qui a le droit de le faire. Le bricolage atteint vite ses limites — notamment, changer un flag en variable d’environnement demande souvent… un redéploiement, ce qui annule l’intérêt du découplage. Le sujet de cet atelier est d’adopter un vrai outil de feature flags adapté au contexte de la squad : un système qui centralise les flags, permet de les changer sans redéployer, trace qui change quoi, et gère les droits. On passe du bricolage qui ne scale pas à un outil qui tient.</w:t>
      </w:r>
    </w:p>
    <w:p>
      <w:pPr>
        <w:pStyle w:val="Heading2"/>
      </w:pPr>
      <w:r>
        <w:t xml:space="preserve">Pourquoi un outil, pas des variables d’env (réponse à porter)</w:t>
      </w:r>
    </w:p>
    <w:p>
      <w:pPr>
        <w:pStyle w:val="ListParagraph"/>
        <w:numPr>
          <w:ilvl w:val="0"/>
          <w:numId w:val="2"/>
        </w:numPr>
        <w:spacing w:after="80"/>
      </w:pPr>
      <w:r>
        <w:t xml:space="preserve">Changer une variable d’env demande souvent un redéploiement — ce qui tue le découplage : si allumer un flag oblige à redéployer, on perd l’intérêt principal (activer sans redéployer, le kill switch instantané). Un outil de feature flags change l’état à chaud, sans toucher au déploiement. C’est la raison technique n°1 de passer à un outil.</w:t>
      </w:r>
    </w:p>
    <w:p>
      <w:pPr>
        <w:pStyle w:val="ListParagraph"/>
        <w:numPr>
          <w:ilvl w:val="0"/>
          <w:numId w:val="2"/>
        </w:numPr>
        <w:spacing w:after="80"/>
      </w:pPr>
      <w:r>
        <w:t xml:space="preserve">Le bricolage ne donne aucune vue d’ensemble : avec des conditions dispersées, personne ne sait quels flags existent, lesquels sont allumés, depuis quand. Un outil centralise — une liste claire de tous les flags et de leur état. Sans vue d’ensemble, la dette de flags (P02) est ingérable.</w:t>
      </w:r>
    </w:p>
    <w:p>
      <w:pPr>
        <w:pStyle w:val="ListParagraph"/>
        <w:numPr>
          <w:ilvl w:val="0"/>
          <w:numId w:val="2"/>
        </w:numPr>
        <w:spacing w:after="80"/>
      </w:pPr>
      <w:r>
        <w:t xml:space="preserve">L’outil trace et gouverne : qui a changé quoi, quand, et qui a le droit : changer un flag en production est une action sensible (on modifie le comportement en prod). Un outil journalise les changements et gère les permissions — qui peut allumer quoi. En banque, cette traçabilité et ce contrôle d’accès sont indispensables.</w:t>
      </w:r>
    </w:p>
    <w:p>
      <w:pPr>
        <w:pStyle w:val="ListParagraph"/>
        <w:numPr>
          <w:ilvl w:val="0"/>
          <w:numId w:val="2"/>
        </w:numPr>
        <w:spacing w:after="80"/>
      </w:pPr>
      <w:r>
        <w:t xml:space="preserve">L’outil débloque les usages avancés : un vrai outil permet le rollout progressif (par pourcentage) et le targeting (par utilisateur, environnement) — impossibles proprement avec des variables d’env. Adopter l’outil, c’est ouvrir la porte au #110.</w:t>
      </w:r>
    </w:p>
    <w:p>
      <w:pPr>
        <w:pStyle w:val="Heading2"/>
      </w:pPr>
      <w:r>
        <w:t xml:space="preserve">Choisir et mettre en place l’outil (leviers concrets)</w:t>
      </w:r>
    </w:p>
    <w:p>
      <w:pPr>
        <w:pStyle w:val="ListParagraph"/>
        <w:numPr>
          <w:ilvl w:val="0"/>
          <w:numId w:val="2"/>
        </w:numPr>
        <w:spacing w:after="80"/>
      </w:pPr>
      <w:r>
        <w:t xml:space="preserve">Choisir selon le contexte, pas la hype : GitLab propose des feature flags intégrés ; il existe aussi des solutions dédiées (Unleash, et autres). Le bon choix dépend de l’écosystème de la squad, du besoin (rollout, targeting), et de l’intégration avec l’existant. On choisit l’adapté, pas le plus en vue.</w:t>
      </w:r>
    </w:p>
    <w:p>
      <w:pPr>
        <w:pStyle w:val="ListParagraph"/>
        <w:numPr>
          <w:ilvl w:val="0"/>
          <w:numId w:val="2"/>
        </w:numPr>
        <w:spacing w:after="80"/>
      </w:pPr>
      <w:r>
        <w:t xml:space="preserve">Privilégier l’intégré quand il suffit : si les feature flags intégrés à GitLab couvrent le besoin de la squad, les adopter évite d’ajouter un outil de plus. On ne complexifie que si le besoin le justifie (targeting fin, gros volume).</w:t>
      </w:r>
    </w:p>
    <w:p>
      <w:pPr>
        <w:pStyle w:val="ListParagraph"/>
        <w:numPr>
          <w:ilvl w:val="0"/>
          <w:numId w:val="2"/>
        </w:numPr>
        <w:spacing w:after="80"/>
      </w:pPr>
      <w:r>
        <w:t xml:space="preserve">Mettre en place et reposer le premier flag dans l’outil : concrètement, brancher l’outil et y recréer le flag du #106, pour valider que changer son état ne demande plus de redéploiement. La preuve par l’usage.</w:t>
      </w:r>
    </w:p>
    <w:p>
      <w:pPr>
        <w:pStyle w:val="ListParagraph"/>
        <w:numPr>
          <w:ilvl w:val="0"/>
          <w:numId w:val="2"/>
        </w:numPr>
        <w:spacing w:after="80"/>
      </w:pPr>
      <w:r>
        <w:t xml:space="preserve">Poser les droits dès le départ : décider qui peut créer/allumer des flags, surtout en production. La gouvernance se met en place avec l’outil, pas après — surtout en contexte bancaire.</w:t>
      </w:r>
    </w:p>
    <w:p>
      <w:pPr>
        <w:pStyle w:val="Heading2"/>
      </w:pPr>
      <w:r>
        <w:t xml:space="preserve">Objectif de l’atelier</w:t>
      </w:r>
    </w:p>
    <w:p>
      <w:pPr>
        <w:spacing w:after="120"/>
      </w:pPr>
      <w:r>
        <w:t xml:space="preserve">À la sortie, la squad a adopté un outil de feature flags adapté à son contexte (intégré GitLab ou solution dédiée selon le besoin), y a recréé son premier flag, et a vérifié qu’en changer l’état ne demande plus de redéploiement. L’outil centralise les flags (vue d’ensemble), trace les changements et gère les droits. On est passé du bricolage en variables d’env, qui ne scale pas, à un système qui tient et ouvre les usages avancés. La métrique Feature flags progresse vers une gestion structurée.</w:t>
      </w:r>
    </w:p>
    <w:p>
      <w:pPr>
        <w:pStyle w:val="Heading2"/>
      </w:pPr>
      <w:r>
        <w:t xml:space="preserve">Board Klaxoon</w:t>
      </w:r>
    </w:p>
    <w:p>
      <w:pPr>
        <w:spacing w:after="120"/>
      </w:pPr>
      <w:r>
        <w:rPr>
          <w:b w:val="false"/>
          <w:bCs w:val="false"/>
        </w:rPr>
        <w:t xml:space="preserve">Template recommandé : Notre outil de flags (choix + mise en place).</w:t>
      </w:r>
    </w:p>
    <w:p>
      <w:pPr>
        <w:pStyle w:val="ListParagraph"/>
        <w:numPr>
          <w:ilvl w:val="0"/>
          <w:numId w:val="2"/>
        </w:numPr>
        <w:spacing w:after="80"/>
      </w:pPr>
      <w:r>
        <w:t xml:space="preserve">Zone « Notre besoin » — ce qu’on attend de l’outil (rollout ? targeting ? volume ?).</w:t>
      </w:r>
    </w:p>
    <w:p>
      <w:pPr>
        <w:pStyle w:val="ListParagraph"/>
        <w:numPr>
          <w:ilvl w:val="0"/>
          <w:numId w:val="2"/>
        </w:numPr>
        <w:spacing w:after="80"/>
      </w:pPr>
      <w:r>
        <w:t xml:space="preserve">Zone « L’outil choisi » — intégré GitLab ou dédié, et pourquoi.</w:t>
      </w:r>
    </w:p>
    <w:p>
      <w:pPr>
        <w:pStyle w:val="ListParagraph"/>
        <w:numPr>
          <w:ilvl w:val="0"/>
          <w:numId w:val="2"/>
        </w:numPr>
        <w:spacing w:after="80"/>
      </w:pPr>
      <w:r>
        <w:t xml:space="preserve">Zone « Flag recréé » — le flag du #106 dans l’outil, changé sans redéploiement.</w:t>
      </w:r>
    </w:p>
    <w:p>
      <w:pPr>
        <w:pStyle w:val="ListParagraph"/>
        <w:numPr>
          <w:ilvl w:val="0"/>
          <w:numId w:val="2"/>
        </w:numPr>
        <w:spacing w:after="80"/>
      </w:pPr>
      <w:r>
        <w:t xml:space="preserve">Zone « Droits » — qui peut créer/allumer un flag, surtout en prod.</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limite du bricolage : variables d’env = redéploiement pour changer, aucune vue d’ensemble. Objectif : un vrai outil.</w:t>
      </w:r>
    </w:p>
    <w:p>
      <w:pPr>
        <w:pStyle w:val="ListParagraph"/>
        <w:numPr>
          <w:ilvl w:val="0"/>
          <w:numId w:val="2"/>
        </w:numPr>
        <w:spacing w:after="80"/>
      </w:pPr>
      <w:r>
        <w:rPr>
          <w:b/>
          <w:bCs/>
        </w:rPr>
        <w:t xml:space="preserve">(10 min) Cerner le besoin</w:t>
      </w:r>
      <w:r>
        <w:t xml:space="preserve"> — ce que la squad attend : simple découplage, ou rollout/targeting ? Volume de flags ?</w:t>
      </w:r>
    </w:p>
    <w:p>
      <w:pPr>
        <w:pStyle w:val="ListParagraph"/>
        <w:numPr>
          <w:ilvl w:val="0"/>
          <w:numId w:val="2"/>
        </w:numPr>
        <w:spacing w:after="80"/>
      </w:pPr>
      <w:r>
        <w:rPr>
          <w:b/>
          <w:bCs/>
        </w:rPr>
        <w:t xml:space="preserve">(10 min) Choisir l’outil</w:t>
      </w:r>
      <w:r>
        <w:t xml:space="preserve"> — intégré GitLab ou dédié, selon le besoin et l’écosystème. Privilégier l’intégré s’il suffit.</w:t>
      </w:r>
    </w:p>
    <w:p>
      <w:pPr>
        <w:pStyle w:val="ListParagraph"/>
        <w:numPr>
          <w:ilvl w:val="0"/>
          <w:numId w:val="2"/>
        </w:numPr>
        <w:spacing w:after="80"/>
      </w:pPr>
      <w:r>
        <w:rPr>
          <w:b/>
          <w:bCs/>
        </w:rPr>
        <w:t xml:space="preserve">(12 min) Mettre en place et recréer le flag</w:t>
      </w:r>
      <w:r>
        <w:t xml:space="preserve"> — brancher l’outil, y recréer le flag du #106, vérifier le changement sans redéploiement.</w:t>
      </w:r>
    </w:p>
    <w:p>
      <w:pPr>
        <w:pStyle w:val="ListParagraph"/>
        <w:numPr>
          <w:ilvl w:val="0"/>
          <w:numId w:val="2"/>
        </w:numPr>
        <w:spacing w:after="80"/>
      </w:pPr>
      <w:r>
        <w:rPr>
          <w:b/>
          <w:bCs/>
        </w:rPr>
        <w:t xml:space="preserve">(5 min) Poser les droits</w:t>
      </w:r>
      <w:r>
        <w:t xml:space="preserve"> — qui crée/allume, surtout en prod.</w:t>
      </w:r>
    </w:p>
    <w:p>
      <w:pPr>
        <w:pStyle w:val="ListParagraph"/>
        <w:numPr>
          <w:ilvl w:val="0"/>
          <w:numId w:val="2"/>
        </w:numPr>
        <w:spacing w:after="80"/>
      </w:pPr>
      <w:r>
        <w:rPr>
          <w:b/>
          <w:bCs/>
        </w:rPr>
        <w:t xml:space="preserve">(3 min) Débrief</w:t>
      </w:r>
      <w:r>
        <w:t xml:space="preserve"> — on constate : flags centralisés, changeables à chaud, tracés. Le bricolage est derrière.</w:t>
      </w:r>
    </w:p>
    <w:p>
      <w:pPr>
        <w:pStyle w:val="Heading2"/>
      </w:pPr>
      <w:r>
        <w:t xml:space="preserve">Livrable de l’atelier</w:t>
      </w:r>
    </w:p>
    <w:p>
      <w:pPr>
        <w:pStyle w:val="ListParagraph"/>
        <w:numPr>
          <w:ilvl w:val="0"/>
          <w:numId w:val="2"/>
        </w:numPr>
        <w:spacing w:after="80"/>
      </w:pPr>
      <w:r>
        <w:t xml:space="preserve">Un outil de feature flags adopté, adapté au contexte de la squad.</w:t>
      </w:r>
    </w:p>
    <w:p>
      <w:pPr>
        <w:pStyle w:val="ListParagraph"/>
        <w:numPr>
          <w:ilvl w:val="0"/>
          <w:numId w:val="2"/>
        </w:numPr>
        <w:spacing w:after="80"/>
      </w:pPr>
      <w:r>
        <w:t xml:space="preserve">Le premier flag recréé dans l’outil, changé sans redéploiement (preuve du découplage).</w:t>
      </w:r>
    </w:p>
    <w:p>
      <w:pPr>
        <w:pStyle w:val="ListParagraph"/>
        <w:numPr>
          <w:ilvl w:val="0"/>
          <w:numId w:val="2"/>
        </w:numPr>
        <w:spacing w:after="80"/>
      </w:pPr>
      <w:r>
        <w:t xml:space="preserve">Les droits de création/activation posés, notamment en production.</w:t>
      </w:r>
    </w:p>
    <w:p>
      <w:pPr>
        <w:pStyle w:val="ListParagraph"/>
        <w:numPr>
          <w:ilvl w:val="0"/>
          <w:numId w:val="2"/>
        </w:numPr>
        <w:spacing w:after="80"/>
      </w:pPr>
      <w:r>
        <w:t xml:space="preserve">La vue d’ensemble des flags désormais disponible.</w:t>
      </w:r>
    </w:p>
    <w:p>
      <w:pPr>
        <w:pStyle w:val="Heading2"/>
      </w:pPr>
      <w:r>
        <w:t xml:space="preserve">Articulation P01 (ce qui suit)</w:t>
      </w:r>
    </w:p>
    <w:p>
      <w:pPr>
        <w:spacing w:after="120"/>
      </w:pPr>
      <w:r>
        <w:t xml:space="preserve">L’outil en place, la suite : #108 (inventorier les variables d’env qui servaient de flags et les migrer vers l’outil), #109 (systématiser l’usage), #110 (targeting, débloqué par l’outil). L’outil adopté ici est le socle de tout le reste de P01 — et la vue d’ensemble qu’il donne sera essentielle pour P02 (nettoyage des flags).</w:t>
      </w:r>
    </w:p>
    <w:p>
      <w:pPr>
        <w:pStyle w:val="Heading2"/>
      </w:pPr>
      <w:r>
        <w:t xml:space="preserve">Critère de réussite</w:t>
      </w:r>
    </w:p>
    <w:p>
      <w:pPr>
        <w:spacing w:after="120"/>
      </w:pPr>
      <w:r>
        <w:t xml:space="preserve">La squad a adopté un outil de feature flags adapté à son contexte, y a recréé son premier flag, et a vérifié qu’en changer l’état ne demande plus de redéploiement. L’outil centralise les flags, trace les changements et gère les droits — le bricolage en variables d’env, qui ne passait pas l’échelle, est derrière. Les usages avancés (rollout, targeting) sont désormais possibles. La question P01 franchit sa systématisation : les feature flags ne sont plus bricolés, ils sont outillés et gouvernés.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2026-06-26T10:22:09.872Z</dcterms:created>
  <dcterms:modified xsi:type="dcterms:W3CDTF">2026-06-26T10:22:09.872Z</dcterms:modified>
</cp:coreProperties>
</file>

<file path=docProps/custom.xml><?xml version="1.0" encoding="utf-8"?>
<Properties xmlns="http://schemas.openxmlformats.org/officeDocument/2006/custom-properties" xmlns:vt="http://schemas.openxmlformats.org/officeDocument/2006/docPropsVTypes"/>
</file>