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#132 — Nos MR dans le miroir : le temps de review réel</w:t>
      </w:r>
    </w:p>
    <w:p>
      <w:pPr>
        <w:spacing w:after="160"/>
      </w:pPr>
      <w:r>
        <w:rPr>
          <w:i/>
          <w:iCs/>
        </w:rPr>
        <w:t xml:space="preserve">Axe Qualité (Review) — Question 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reviewées rapidement (review time court)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Reviews lentes : prendre conscience de l’impact</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Review time — rend visible le temps de review réel et son impact sur la vélocité, pour déclencher l’envie d’agir.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données de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sensibilisation : visualiser les temps de review et leur coût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Diagnostic du cycle MR (#131)</w:t>
            </w:r>
          </w:p>
        </w:tc>
      </w:tr>
    </w:tbl>
    <w:p>
      <w:pPr>
        <w:pStyle w:val="Heading2"/>
      </w:pPr>
      <w:r>
        <w:t xml:space="preserve">Problématique</w:t>
      </w:r>
    </w:p>
    <w:p>
      <w:pPr>
        <w:spacing w:after="120"/>
      </w:pPr>
      <w:r>
        <w:t xml:space="preserve">Le diagnostic (#131) a cartographié le cycle MR. Cet atelier en tire la prise de conscience collective : mettre la squad face à ses temps de review réels, et faire le lien avec ce qu’ils coûtent. Car un temps de review long n’est pas qu’un chiffre — c’est de la vélocité perdue : une MR qui attend trois jours, c’est une fonctionnalité qui n’avance pas, un développeur bloqué qui attend pour continuer, du contexte qui s’efface dans les têtes. Le sujet est de visualiser ces temps (le miroir) et de rendre tangible leur impact sur la capacité de la squad à livrer. On ne cherche pas un coupable — on prend conscience, ensemble, qu’accélérer la review est un levier de vélocité majeur, pour donner envie d’agir (#133-136).</w:t>
      </w:r>
    </w:p>
    <w:p>
      <w:pPr>
        <w:pStyle w:val="Heading2"/>
      </w:pPr>
      <w:r>
        <w:t xml:space="preserve">Pourquoi se regarder dans le miroir (réponse à porter)</w:t>
      </w:r>
    </w:p>
    <w:p>
      <w:pPr>
        <w:pStyle w:val="ListParagraph"/>
        <w:numPr>
          <w:ilvl w:val="0"/>
          <w:numId w:val="2"/>
        </w:numPr>
        <w:spacing w:after="80"/>
      </w:pPr>
      <w:r>
        <w:t xml:space="preserve">Un temps de review long coûte de la vélocité, pas juste du délai : une MR qui attend bloque l’auteur (qui ne peut pas construire dessus), fait s’effacer le contexte (re-comprendre une MR ancienne prend du temps), et retarde la valeur livrée. Le temps de review est un multiplicateur caché de lenteur.</w:t>
      </w:r>
    </w:p>
    <w:p>
      <w:pPr>
        <w:pStyle w:val="ListParagraph"/>
        <w:numPr>
          <w:ilvl w:val="0"/>
          <w:numId w:val="2"/>
        </w:numPr>
        <w:spacing w:after="80"/>
      </w:pPr>
      <w:r>
        <w:t xml:space="preserve">Voir les chiffres réels crée le déclic : tant que « nos reviews sont un peu lentes » reste une impression vague, rien ne bouge. Mettre un temps moyen précis sous les yeux — et le comparer à ce qui serait souhaitable — rend le problème concret et donne envie d’agir. Le miroir est un déclencheur.</w:t>
      </w:r>
    </w:p>
    <w:p>
      <w:pPr>
        <w:pStyle w:val="ListParagraph"/>
        <w:numPr>
          <w:ilvl w:val="0"/>
          <w:numId w:val="2"/>
        </w:numPr>
        <w:spacing w:after="80"/>
      </w:pPr>
      <w:r>
        <w:t xml:space="preserve">L’impact se mesure en chaîne, pas en isolé : une review lente ralentit l’auteur, qui ralentit la fonctionnalité, qui ralentit la livraison. Visualiser cette chaîne montre que la review n’est pas un détail de fin de cycle, mais un goulot qui affecte tout le flux.</w:t>
      </w:r>
    </w:p>
    <w:p>
      <w:pPr>
        <w:pStyle w:val="ListParagraph"/>
        <w:numPr>
          <w:ilvl w:val="0"/>
          <w:numId w:val="2"/>
        </w:numPr>
        <w:spacing w:after="80"/>
      </w:pPr>
      <w:r>
        <w:t xml:space="preserve">La prise de conscience collective évite la culpabilisation : le miroir montre un phénomène d’équipe, pas une faute individuelle. La review lente vient souvent de l’organisation (pas de moment dédié, pas de priorité claire), pas de la paresse. Le regarder ensemble ouvre la voie à des solutions collectives (#133-136).</w:t>
      </w:r>
    </w:p>
    <w:p>
      <w:pPr>
        <w:pStyle w:val="Heading2"/>
      </w:pPr>
      <w:r>
        <w:t xml:space="preserve">Animer le miroir (leviers concrets)</w:t>
      </w:r>
    </w:p>
    <w:p>
      <w:pPr>
        <w:pStyle w:val="ListParagraph"/>
        <w:numPr>
          <w:ilvl w:val="0"/>
          <w:numId w:val="2"/>
        </w:numPr>
        <w:spacing w:after="80"/>
      </w:pPr>
      <w:r>
        <w:t xml:space="preserve">Montrer le temps de review réel : à partir des données (hub, mesure Review time, et le diagnostic #131), afficher le temps moyen et la dispersion. Les chiffres réels, pas les ressentis.</w:t>
      </w:r>
    </w:p>
    <w:p>
      <w:pPr>
        <w:pStyle w:val="ListParagraph"/>
        <w:numPr>
          <w:ilvl w:val="0"/>
          <w:numId w:val="2"/>
        </w:numPr>
        <w:spacing w:after="80"/>
      </w:pPr>
      <w:r>
        <w:t xml:space="preserve">Traduire le temps en impact : pour un temps de review donné, expliciter ce qu’il coûte — auteur bloqué, contexte perdu, livraison retardée. Rendre le coût tangible, pas abstrait.</w:t>
      </w:r>
    </w:p>
    <w:p>
      <w:pPr>
        <w:pStyle w:val="ListParagraph"/>
        <w:numPr>
          <w:ilvl w:val="0"/>
          <w:numId w:val="2"/>
        </w:numPr>
        <w:spacing w:after="80"/>
      </w:pPr>
      <w:r>
        <w:t xml:space="preserve">Comparer à un objectif souhaitable : situer le temps actuel par rapport à une cible raisonnable (le SLA 24h/48h du #133). L’écart visualisé motive l’action.</w:t>
      </w:r>
    </w:p>
    <w:p>
      <w:pPr>
        <w:pStyle w:val="ListParagraph"/>
        <w:numPr>
          <w:ilvl w:val="0"/>
          <w:numId w:val="2"/>
        </w:numPr>
        <w:spacing w:after="80"/>
      </w:pPr>
      <w:r>
        <w:t xml:space="preserve">Rester collectif et bienveillant : le miroir révèle un problème d’équipe à résoudre ensemble, pas des coupables. L’animateur cadre la discussion sur les causes systémiques, pas sur les personnes.</w:t>
      </w:r>
    </w:p>
    <w:p>
      <w:pPr>
        <w:pStyle w:val="Heading2"/>
      </w:pPr>
      <w:r>
        <w:t xml:space="preserve">Objectif de l’atelier</w:t>
      </w:r>
    </w:p>
    <w:p>
      <w:pPr>
        <w:spacing w:after="120"/>
      </w:pPr>
      <w:r>
        <w:t xml:space="preserve">À la sortie, la squad a visualisé ses temps de review réels et pris conscience, collectivement, de leur impact sur la vélocité : une review lente bloque l’auteur, efface le contexte, retarde la livraison. Le coût est devenu tangible, et l’écart avec un objectif souhaitable (le SLA à venir) est visible. La prise de conscience est faite, sans culpabilisation — la squad a envie d’agir sur ce levier. La mesure Review time du hub est sous les yeux de tous, prête à être améliorée par les ateliers suivants.</w:t>
      </w:r>
    </w:p>
    <w:p>
      <w:pPr>
        <w:pStyle w:val="Heading2"/>
      </w:pPr>
      <w:r>
        <w:t xml:space="preserve">Board Klaxoon</w:t>
      </w:r>
    </w:p>
    <w:p>
      <w:pPr>
        <w:spacing w:after="120"/>
      </w:pPr>
      <w:r>
        <w:rPr>
          <w:b w:val="false"/>
          <w:bCs w:val="false"/>
        </w:rPr>
        <w:t xml:space="preserve">Template recommandé : Nos MR dans le miroir.</w:t>
      </w:r>
    </w:p>
    <w:p>
      <w:pPr>
        <w:pStyle w:val="ListParagraph"/>
        <w:numPr>
          <w:ilvl w:val="0"/>
          <w:numId w:val="2"/>
        </w:numPr>
        <w:spacing w:after="80"/>
      </w:pPr>
      <w:r>
        <w:t xml:space="preserve">Zone « Notre temps de review réel » — le chiffre, sans détour (hub Review time).</w:t>
      </w:r>
    </w:p>
    <w:p>
      <w:pPr>
        <w:pStyle w:val="ListParagraph"/>
        <w:numPr>
          <w:ilvl w:val="0"/>
          <w:numId w:val="2"/>
        </w:numPr>
        <w:spacing w:after="80"/>
      </w:pPr>
      <w:r>
        <w:t xml:space="preserve">Zone « Ce que ça coûte » — auteur bloqué, contexte perdu, livraison retardée.</w:t>
      </w:r>
    </w:p>
    <w:p>
      <w:pPr>
        <w:pStyle w:val="ListParagraph"/>
        <w:numPr>
          <w:ilvl w:val="0"/>
          <w:numId w:val="2"/>
        </w:numPr>
        <w:spacing w:after="80"/>
      </w:pPr>
      <w:r>
        <w:t xml:space="preserve">Zone « L’écart » — le temps actuel vs un objectif souhaitable (SLA #133).</w:t>
      </w:r>
    </w:p>
    <w:p>
      <w:pPr>
        <w:pStyle w:val="ListParagraph"/>
        <w:numPr>
          <w:ilvl w:val="0"/>
          <w:numId w:val="2"/>
        </w:numPr>
        <w:spacing w:after="80"/>
      </w:pPr>
      <w:r>
        <w:t xml:space="preserve">Zone « On agit ensemble » — l’envie collective d’améliorer, sans coupable.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se regarder dans le miroir pour donner envie d’agir, pas pour blâmer.</w:t>
      </w:r>
    </w:p>
    <w:p>
      <w:pPr>
        <w:pStyle w:val="ListParagraph"/>
        <w:numPr>
          <w:ilvl w:val="0"/>
          <w:numId w:val="2"/>
        </w:numPr>
        <w:spacing w:after="80"/>
      </w:pPr>
      <w:r>
        <w:rPr>
          <w:b/>
          <w:bCs/>
        </w:rPr>
        <w:t xml:space="preserve">(12 min) Montrer les temps réels</w:t>
      </w:r>
      <w:r>
        <w:t xml:space="preserve"> — afficher le temps de review moyen et sa dispersion (hub, diagnostic #131).</w:t>
      </w:r>
    </w:p>
    <w:p>
      <w:pPr>
        <w:pStyle w:val="ListParagraph"/>
        <w:numPr>
          <w:ilvl w:val="0"/>
          <w:numId w:val="2"/>
        </w:numPr>
        <w:spacing w:after="80"/>
      </w:pPr>
      <w:r>
        <w:rPr>
          <w:b/>
          <w:bCs/>
        </w:rPr>
        <w:t xml:space="preserve">(15 min) Traduire en impact</w:t>
      </w:r>
      <w:r>
        <w:t xml:space="preserve"> — expliciter la chaîne de coût : auteur bloqué, contexte perdu, livraison retardée.</w:t>
      </w:r>
    </w:p>
    <w:p>
      <w:pPr>
        <w:pStyle w:val="ListParagraph"/>
        <w:numPr>
          <w:ilvl w:val="0"/>
          <w:numId w:val="2"/>
        </w:numPr>
        <w:spacing w:after="80"/>
      </w:pPr>
      <w:r>
        <w:rPr>
          <w:b/>
          <w:bCs/>
        </w:rPr>
        <w:t xml:space="preserve">(8 min) Visualiser l’écart</w:t>
      </w:r>
      <w:r>
        <w:t xml:space="preserve"> — situer le temps actuel face à un objectif souhaitable.</w:t>
      </w:r>
    </w:p>
    <w:p>
      <w:pPr>
        <w:pStyle w:val="ListParagraph"/>
        <w:numPr>
          <w:ilvl w:val="0"/>
          <w:numId w:val="2"/>
        </w:numPr>
        <w:spacing w:after="80"/>
      </w:pPr>
      <w:r>
        <w:rPr>
          <w:b/>
          <w:bCs/>
        </w:rPr>
        <w:t xml:space="preserve">(5 min) Débrief</w:t>
      </w:r>
      <w:r>
        <w:t xml:space="preserve"> — on constate : l’impact est tangible, l’envie d’agir est là. Place au SLA (#133).</w:t>
      </w:r>
    </w:p>
    <w:p>
      <w:pPr>
        <w:pStyle w:val="Heading2"/>
      </w:pPr>
      <w:r>
        <w:t xml:space="preserve">Livrable de l’atelier</w:t>
      </w:r>
    </w:p>
    <w:p>
      <w:pPr>
        <w:pStyle w:val="ListParagraph"/>
        <w:numPr>
          <w:ilvl w:val="0"/>
          <w:numId w:val="2"/>
        </w:numPr>
        <w:spacing w:after="80"/>
      </w:pPr>
      <w:r>
        <w:t xml:space="preserve">La visualisation du temps de review réel de la squad (hub Review time).</w:t>
      </w:r>
    </w:p>
    <w:p>
      <w:pPr>
        <w:pStyle w:val="ListParagraph"/>
        <w:numPr>
          <w:ilvl w:val="0"/>
          <w:numId w:val="2"/>
        </w:numPr>
        <w:spacing w:after="80"/>
      </w:pPr>
      <w:r>
        <w:t xml:space="preserve">La traduction du temps en impact concret sur la vélocité.</w:t>
      </w:r>
    </w:p>
    <w:p>
      <w:pPr>
        <w:pStyle w:val="ListParagraph"/>
        <w:numPr>
          <w:ilvl w:val="0"/>
          <w:numId w:val="2"/>
        </w:numPr>
        <w:spacing w:after="80"/>
      </w:pPr>
      <w:r>
        <w:t xml:space="preserve">L’écart visualisé avec un objectif souhaitable.</w:t>
      </w:r>
    </w:p>
    <w:p>
      <w:pPr>
        <w:pStyle w:val="ListParagraph"/>
        <w:numPr>
          <w:ilvl w:val="0"/>
          <w:numId w:val="2"/>
        </w:numPr>
        <w:spacing w:after="80"/>
      </w:pPr>
      <w:r>
        <w:t xml:space="preserve">Une prise de conscience collective, sans culpabilisation, et l’envie d’agir.</w:t>
      </w:r>
    </w:p>
    <w:p>
      <w:pPr>
        <w:pStyle w:val="Heading2"/>
      </w:pPr>
      <w:r>
        <w:t xml:space="preserve">Articulation Q01 (ce qui suit)</w:t>
      </w:r>
    </w:p>
    <w:p>
      <w:pPr>
        <w:spacing w:after="120"/>
      </w:pPr>
      <w:r>
        <w:t xml:space="preserve">Le miroir donne envie d’agir. La suite outille : #133 (SLA de review 24h/48h), #134 (rappels automatiques), #135 (causes de lenteur), #136 (exceptions). La prise de conscience d’aujourd’hui rend ces mesures désirables plutôt que subies.</w:t>
      </w:r>
    </w:p>
    <w:p>
      <w:pPr>
        <w:pStyle w:val="Heading2"/>
      </w:pPr>
      <w:r>
        <w:t xml:space="preserve">Critère de réussite</w:t>
      </w:r>
    </w:p>
    <w:p>
      <w:pPr>
        <w:spacing w:after="120"/>
      </w:pPr>
      <w:r>
        <w:t xml:space="preserve">La squad a visualisé ses temps de review réels et pris conscience collectivement de leur impact sur la vélocité — auteur bloqué, contexte perdu, livraison retardée — sans culpabilisation, avec l’envie d’agir. L’écart avec un objectif souhaitable est visible. La mesure Review time du hub est sous les yeux de tous. La question Q01 a posé sa sensibilisation : le problème est tangible et la squad veut le résoudre, prête pour le SLA (#133).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2026-06-26T12:52:20.730Z</dcterms:created>
  <dcterms:modified xsi:type="dcterms:W3CDTF">2026-06-26T12:52:20.731Z</dcterms:modified>
</cp:coreProperties>
</file>

<file path=docProps/custom.xml><?xml version="1.0" encoding="utf-8"?>
<Properties xmlns="http://schemas.openxmlformats.org/officeDocument/2006/custom-properties" xmlns:vt="http://schemas.openxmlformats.org/officeDocument/2006/docPropsVTypes"/>
</file>