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#136 — Analyser les exceptions au SLA</w:t>
      </w:r>
    </w:p>
    <w:p>
      <w:pPr>
        <w:spacing w:after="160"/>
      </w:pPr>
      <w:r>
        <w:rPr>
          <w:i/>
          <w:iCs/>
        </w:rPr>
        <w:t xml:space="preserve">Axe Qualité (Review) — Question 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reviewées rapidement (review time court)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SLA tenu : comprendre et traiter les dépassements résiduels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Review time — clôt le gradient : analyse les MR qui dépassent encore le SLA et traite chaque cause à la racine.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MR ayant dépassé le SLA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d’analyse : comprendre chaque dépassement du SLA et le traiter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SLA (#133), rappels (#134), causes traitées (#135)</w:t>
            </w:r>
          </w:p>
        </w:tc>
      </w:tr>
    </w:tbl>
    <w:p>
      <w:pPr>
        <w:pStyle w:val="Heading2"/>
      </w:pPr>
      <w:r>
        <w:t xml:space="preserve">Problématique</w:t>
      </w:r>
    </w:p>
    <w:p>
      <w:pPr>
        <w:spacing w:after="120"/>
      </w:pPr>
      <w:r>
        <w:t xml:space="preserve">Le SLA est en place, outillé de rappels, et les causes structurelles de lenteur sont traitées (#133-135). Pourtant, quelques MR continuent de dépasser le SLA. C’est normal — aucun engagement n’est tenu à 100 %, et certains dépassements sont légitimes. Le sujet de cet atelier, qui clôt Q01, est d’instaurer une analyse régulière de ces exceptions : pour chaque MR qui dépasse le SLA, comprendre POURQUOI, et traiter la cause. L’objectif n’est pas de viser le zéro dépassement absolu (illusoire et contre-productif), mais de s’assurer qu’aucun dépassement n’est ignoré : chaque exception est soit légitime et assumée (un sujet vraiment complexe), soit le signe d’une cause récurrente à corriger. On transforme les dépassements en source d’amélioration continue, plutôt qu’en fatalité.</w:t>
      </w:r>
    </w:p>
    <w:p>
      <w:pPr>
        <w:pStyle w:val="Heading2"/>
      </w:pPr>
      <w:r>
        <w:t xml:space="preserve">Pourquoi analyser les exceptions (réponse à porter)</w:t>
      </w:r>
    </w:p>
    <w:p>
      <w:pPr>
        <w:pStyle w:val="ListParagraph"/>
        <w:numPr>
          <w:ilvl w:val="0"/>
          <w:numId w:val="2"/>
        </w:numPr>
        <w:spacing w:after="80"/>
      </w:pPr>
      <w:r>
        <w:t xml:space="preserve">Un SLA sans analyse des dépassements se dégrade : si les dépassements ne sont jamais examinés, ils deviennent la norme tolérée et le SLA perd son sens. Analyser chaque exception maintient le SLA vivant : on sait pourquoi il n’a pas été tenu, et si c’est acceptable ou non. L’analyse est ce qui empêche l’érosion silencieuse.</w:t>
      </w:r>
    </w:p>
    <w:p>
      <w:pPr>
        <w:pStyle w:val="ListParagraph"/>
        <w:numPr>
          <w:ilvl w:val="0"/>
          <w:numId w:val="2"/>
        </w:numPr>
        <w:spacing w:after="80"/>
      </w:pPr>
      <w:r>
        <w:t xml:space="preserve">Distinguer l’exception légitime de la cause récurrente : certains dépassements sont justifiés (une MR vraiment complexe, un pic de charge ponctuel) — on les assume. D’autres révèlent une cause qui revient (toujours le même reviewer goulot, toujours des MR trop grosses) — on la corrige. L’analyse trie le tolérable du corrigible.</w:t>
      </w:r>
    </w:p>
    <w:p>
      <w:pPr>
        <w:pStyle w:val="ListParagraph"/>
        <w:numPr>
          <w:ilvl w:val="0"/>
          <w:numId w:val="2"/>
        </w:numPr>
        <w:spacing w:after="80"/>
      </w:pPr>
      <w:r>
        <w:t xml:space="preserve">Viser le zéro absolu est contre-productif : exiger 100 % de respect du SLA pousserait à bâcler les reviews complexes pour tenir le délai — au détriment de la qualité. Le bon objectif est « aucun dépassement ignoré », pas « aucun dépassement ». On préserve la qualité de review tout en gardant la vitesse sous contrôle.</w:t>
      </w:r>
    </w:p>
    <w:p>
      <w:pPr>
        <w:pStyle w:val="ListParagraph"/>
        <w:numPr>
          <w:ilvl w:val="0"/>
          <w:numId w:val="2"/>
        </w:numPr>
        <w:spacing w:after="80"/>
      </w:pPr>
      <w:r>
        <w:t xml:space="preserve">Les exceptions alimentent l’amélioration continue : chaque dépassement analysé est une information sur le fonctionnement de la squad — un signal faible qui, traité, améliore le système. Les exceptions ne sont pas des échecs, ce sont des données. C’est l’esprit d’une DevOps Review (cf. axe Culture).</w:t>
      </w:r>
    </w:p>
    <w:p>
      <w:pPr>
        <w:pStyle w:val="Heading2"/>
      </w:pPr>
      <w:r>
        <w:t xml:space="preserve">Analyser les exceptions (leviers concrets)</w:t>
      </w:r>
    </w:p>
    <w:p>
      <w:pPr>
        <w:pStyle w:val="ListParagraph"/>
        <w:numPr>
          <w:ilvl w:val="0"/>
          <w:numId w:val="2"/>
        </w:numPr>
        <w:spacing w:after="80"/>
      </w:pPr>
      <w:r>
        <w:t xml:space="preserve">Passer en revue régulièrement les MR ayant dépassé le SLA : intégrer cette analyse à un rituel existant (une DevOps Review, un point hebdo) — quelques minutes pour examiner les dépassements de la période. Régulier et léger, pas une grand-messe.</w:t>
      </w:r>
    </w:p>
    <w:p>
      <w:pPr>
        <w:pStyle w:val="ListParagraph"/>
        <w:numPr>
          <w:ilvl w:val="0"/>
          <w:numId w:val="2"/>
        </w:numPr>
        <w:spacing w:after="80"/>
      </w:pPr>
      <w:r>
        <w:t xml:space="preserve">Pour chaque exception, qualifier : légitime ou cause récurrente : la MR a-t-elle dépassé pour une raison justifiée (complexité réelle, imprévu ponctuel) ou pour une cause qui revient (goulot, taille) ? La qualification oriente la suite.</w:t>
      </w:r>
    </w:p>
    <w:p>
      <w:pPr>
        <w:pStyle w:val="ListParagraph"/>
        <w:numPr>
          <w:ilvl w:val="0"/>
          <w:numId w:val="2"/>
        </w:numPr>
        <w:spacing w:after="80"/>
      </w:pPr>
      <w:r>
        <w:t xml:space="preserve">Assumer les légitimes, corriger les récurrentes : une exception légitime est notée et acceptée (pas de culpabilité). Une cause récurrente est traitée (renvoi aux réponses du #135 : découpage, diffusion de compétence). On agit sur ce qui se répète.</w:t>
      </w:r>
    </w:p>
    <w:p>
      <w:pPr>
        <w:pStyle w:val="ListParagraph"/>
        <w:numPr>
          <w:ilvl w:val="0"/>
          <w:numId w:val="2"/>
        </w:numPr>
        <w:spacing w:after="80"/>
      </w:pPr>
      <w:r>
        <w:t xml:space="preserve">Suivre la tendance, pas chaque cas isolé : l’important est la tendance du respect du SLA (mesure Review time du hub) — s’améliore-t-elle ? Un dépassement isolé n’est pas un drame ; une dérive de la tendance est un signal. On pilote la courbe, pas le point.</w:t>
      </w:r>
    </w:p>
    <w:p>
      <w:pPr>
        <w:pStyle w:val="Heading2"/>
      </w:pPr>
      <w:r>
        <w:t xml:space="preserve">Objectif de l’atelier</w:t>
      </w:r>
    </w:p>
    <w:p>
      <w:pPr>
        <w:spacing w:after="120"/>
      </w:pPr>
      <w:r>
        <w:t xml:space="preserve">À la sortie, la squad a instauré une analyse régulière des exceptions au SLA : pour chaque MR qui dépasse, comprendre pourquoi, distinguer l’exception légitime (assumée) de la cause récurrente (corrigée, en s’appuyant sur les réponses du #135). L’objectif est « aucun dépassement ignoré », pas « zéro dépassement » — ce qui préserve la qualité des reviews complexes tout en gardant la vitesse sous contrôle. Les dépassements deviennent une source d’amélioration continue, suivie via la tendance du Review time du hub. La question Q01 est complète : la vitesse de review est non seulement engagée (SLA), outillée (rappels) et corrigée à la racine (causes), mais aussi pilotée dans la durée (exceptions).</w:t>
      </w:r>
    </w:p>
    <w:p>
      <w:pPr>
        <w:pStyle w:val="Heading2"/>
      </w:pPr>
      <w:r>
        <w:t xml:space="preserve">Board Klaxoon</w:t>
      </w:r>
    </w:p>
    <w:p>
      <w:pPr>
        <w:spacing w:after="120"/>
      </w:pPr>
      <w:r>
        <w:rPr>
          <w:b w:val="false"/>
          <w:bCs w:val="false"/>
        </w:rPr>
        <w:t xml:space="preserve">Template recommandé : Exceptions au SLA.</w:t>
      </w:r>
    </w:p>
    <w:p>
      <w:pPr>
        <w:pStyle w:val="ListParagraph"/>
        <w:numPr>
          <w:ilvl w:val="0"/>
          <w:numId w:val="2"/>
        </w:numPr>
        <w:spacing w:after="80"/>
      </w:pPr>
      <w:r>
        <w:t xml:space="preserve">Zone « Dépassements de la période » — les MR ayant dépassé le SLA.</w:t>
      </w:r>
    </w:p>
    <w:p>
      <w:pPr>
        <w:pStyle w:val="ListParagraph"/>
        <w:numPr>
          <w:ilvl w:val="0"/>
          <w:numId w:val="2"/>
        </w:numPr>
        <w:spacing w:after="80"/>
      </w:pPr>
      <w:r>
        <w:t xml:space="preserve">Zone « Légitime ou récurrent ? » — la qualification de chaque exception.</w:t>
      </w:r>
    </w:p>
    <w:p>
      <w:pPr>
        <w:pStyle w:val="ListParagraph"/>
        <w:numPr>
          <w:ilvl w:val="0"/>
          <w:numId w:val="2"/>
        </w:numPr>
        <w:spacing w:after="80"/>
      </w:pPr>
      <w:r>
        <w:t xml:space="preserve">Zone « Action » — assumer (légitime) ou corriger (récurrent, renvoi #135).</w:t>
      </w:r>
    </w:p>
    <w:p>
      <w:pPr>
        <w:pStyle w:val="ListParagraph"/>
        <w:numPr>
          <w:ilvl w:val="0"/>
          <w:numId w:val="2"/>
        </w:numPr>
        <w:spacing w:after="80"/>
      </w:pPr>
      <w:r>
        <w:t xml:space="preserve">Zone « Tendance » — l’évolution du respect du SLA (hub Review time).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aucun dépassement ignoré (pas zéro dépassement). Les exceptions sont des données.</w:t>
      </w:r>
    </w:p>
    <w:p>
      <w:pPr>
        <w:pStyle w:val="ListParagraph"/>
        <w:numPr>
          <w:ilvl w:val="0"/>
          <w:numId w:val="2"/>
        </w:numPr>
        <w:spacing w:after="80"/>
      </w:pPr>
      <w:r>
        <w:rPr>
          <w:b/>
          <w:bCs/>
        </w:rPr>
        <w:t xml:space="preserve">(15 min) Passer en revue les dépassements</w:t>
      </w:r>
      <w:r>
        <w:t xml:space="preserve"> — examiner chaque MR ayant dépassé le SLA sur la période.</w:t>
      </w:r>
    </w:p>
    <w:p>
      <w:pPr>
        <w:pStyle w:val="ListParagraph"/>
        <w:numPr>
          <w:ilvl w:val="0"/>
          <w:numId w:val="2"/>
        </w:numPr>
        <w:spacing w:after="80"/>
      </w:pPr>
      <w:r>
        <w:rPr>
          <w:b/>
          <w:bCs/>
        </w:rPr>
        <w:t xml:space="preserve">(10 min) Qualifier</w:t>
      </w:r>
      <w:r>
        <w:t xml:space="preserve"> — légitime (assumée) ou cause récurrente (à corriger) ?</w:t>
      </w:r>
    </w:p>
    <w:p>
      <w:pPr>
        <w:pStyle w:val="ListParagraph"/>
        <w:numPr>
          <w:ilvl w:val="0"/>
          <w:numId w:val="2"/>
        </w:numPr>
        <w:spacing w:after="80"/>
      </w:pPr>
      <w:r>
        <w:rPr>
          <w:b/>
          <w:bCs/>
        </w:rPr>
        <w:t xml:space="preserve">(8 min) Décider les actions</w:t>
      </w:r>
      <w:r>
        <w:t xml:space="preserve"> — assumer les légitimes, traiter les récurrentes (renvoi #135).</w:t>
      </w:r>
    </w:p>
    <w:p>
      <w:pPr>
        <w:pStyle w:val="ListParagraph"/>
        <w:numPr>
          <w:ilvl w:val="0"/>
          <w:numId w:val="2"/>
        </w:numPr>
        <w:spacing w:after="80"/>
      </w:pPr>
      <w:r>
        <w:rPr>
          <w:b/>
          <w:bCs/>
        </w:rPr>
        <w:t xml:space="preserve">(4 min) Intégrer au rituel</w:t>
      </w:r>
      <w:r>
        <w:t xml:space="preserve"> — ancrer cette analyse dans un point régulier, suivre la tendance.</w:t>
      </w:r>
    </w:p>
    <w:p>
      <w:pPr>
        <w:pStyle w:val="ListParagraph"/>
        <w:numPr>
          <w:ilvl w:val="0"/>
          <w:numId w:val="2"/>
        </w:numPr>
        <w:spacing w:after="80"/>
      </w:pPr>
      <w:r>
        <w:rPr>
          <w:b/>
          <w:bCs/>
        </w:rPr>
        <w:t xml:space="preserve">(3 min) Débrief</w:t>
      </w:r>
      <w:r>
        <w:t xml:space="preserve"> — on constate : les dépassements deviennent une source d’amélioration. Q01 est complète.</w:t>
      </w:r>
    </w:p>
    <w:p>
      <w:pPr>
        <w:pStyle w:val="Heading2"/>
      </w:pPr>
      <w:r>
        <w:t xml:space="preserve">Livrable de l’atelier</w:t>
      </w:r>
    </w:p>
    <w:p>
      <w:pPr>
        <w:pStyle w:val="ListParagraph"/>
        <w:numPr>
          <w:ilvl w:val="0"/>
          <w:numId w:val="2"/>
        </w:numPr>
        <w:spacing w:after="80"/>
      </w:pPr>
      <w:r>
        <w:t xml:space="preserve">Une analyse régulière des exceptions au SLA, intégrée à un rituel.</w:t>
      </w:r>
    </w:p>
    <w:p>
      <w:pPr>
        <w:pStyle w:val="ListParagraph"/>
        <w:numPr>
          <w:ilvl w:val="0"/>
          <w:numId w:val="2"/>
        </w:numPr>
        <w:spacing w:after="80"/>
      </w:pPr>
      <w:r>
        <w:t xml:space="preserve">La qualification de chaque dépassement (légitime / récurrent).</w:t>
      </w:r>
    </w:p>
    <w:p>
      <w:pPr>
        <w:pStyle w:val="ListParagraph"/>
        <w:numPr>
          <w:ilvl w:val="0"/>
          <w:numId w:val="2"/>
        </w:numPr>
        <w:spacing w:after="80"/>
      </w:pPr>
      <w:r>
        <w:t xml:space="preserve">Les actions : légitimes assumées, récurrentes corrigées (renvoi #135).</w:t>
      </w:r>
    </w:p>
    <w:p>
      <w:pPr>
        <w:pStyle w:val="ListParagraph"/>
        <w:numPr>
          <w:ilvl w:val="0"/>
          <w:numId w:val="2"/>
        </w:numPr>
        <w:spacing w:after="80"/>
      </w:pPr>
      <w:r>
        <w:t xml:space="preserve">Le suivi de la tendance du respect du SLA (hub Review time).</w:t>
      </w:r>
    </w:p>
    <w:p>
      <w:pPr>
        <w:pStyle w:val="Heading2"/>
      </w:pPr>
      <w:r>
        <w:t xml:space="preserve">Articulation Q01 (clôture de la question)</w:t>
      </w:r>
    </w:p>
    <w:p>
      <w:pPr>
        <w:spacing w:after="120"/>
      </w:pPr>
      <w:r>
        <w:t xml:space="preserve">Avec l’analyse des exceptions, la question Q01 est complète sur tout son gradient : diagnostic du cycle MR (#131), prise de conscience (#132), SLA (#133), rappels automatiques (#134), causes de lenteur (#135), exceptions (#136). La vitesse de review est engagée, outillée, corrigée à la racine et pilotée dans la durée. Q01 porte la vitesse ; l’axe hygiène (H05) porte l’anti-abandon, en s’appuyant sur le SLA et les rappels d’ici (renvois #102/#104). Ensemble, les MR sont à la fois reviewées vite et jamais abandonnées. La suite de l’axe Review traite la qualité des reviews (Q03), les règles d’approbation (Q02) et la taille des MR (Q04).</w:t>
      </w:r>
    </w:p>
    <w:p>
      <w:pPr>
        <w:pStyle w:val="Heading2"/>
      </w:pPr>
      <w:r>
        <w:t xml:space="preserve">Critère de réussite</w:t>
      </w:r>
    </w:p>
    <w:p>
      <w:pPr>
        <w:spacing w:after="120"/>
      </w:pPr>
      <w:r>
        <w:t xml:space="preserve">La squad analyse régulièrement les exceptions au SLA : chaque dépassement est compris, distingué entre exception légitime (assumée) et cause récurrente (corrigée), avec un objectif d’« aucun dépassement ignoré » plutôt que de zéro dépassement — ce qui préserve la qualité des reviews complexes. Les dépassements alimentent l’amélioration continue, suivie via la tendance du Review time du hub. La question Q01 atteint son palier Formalisé et se clôt : la vitesse de review est engagée, outillée, corrigée et pilotée, et l’axe hygiène s’appuie dessus sans le dédoubler.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2026-06-26T12:52:21.121Z</dcterms:created>
  <dcterms:modified xsi:type="dcterms:W3CDTF">2026-06-26T12:52:21.121Z</dcterms:modified>
</cp:coreProperties>
</file>

<file path=docProps/custom.xml><?xml version="1.0" encoding="utf-8"?>
<Properties xmlns="http://schemas.openxmlformats.org/officeDocument/2006/custom-properties" xmlns:vt="http://schemas.openxmlformats.org/officeDocument/2006/docPropsVTypes"/>
</file>