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#137 — Pourquoi deux approbateurs ? Le principe des quatre yeux</w:t>
      </w:r>
    </w:p>
    <w:p>
      <w:pPr>
        <w:spacing w:after="160"/>
      </w:pPr>
      <w:r>
        <w:rPr>
          <w:i/>
          <w:iCs/>
        </w:rPr>
        <w:t xml:space="preserve">Axe Qualité (Review) — Question Q02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Qualité — Review</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(Q02)</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Les règles d’approbation sont-elles en place (2 approbateurs, auteur exclu)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Initial 🔴 — Pas de règle d’approbation : comprendre l’enjeu</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Approval rules — sensibilise au principe des 4 yeux avant la configuration (#138). Prépare la mesure à passer de « 0/auteur peut approuver » vers « 2+ approbateurs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idéalement avec un référent conformité/risque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Atelier de sensibilisation : comprendre l’enjeu métier des 4 yeux en banque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Aucun</w:t>
            </w:r>
          </w:p>
        </w:tc>
      </w:tr>
    </w:tbl>
    <w:p>
      <w:pPr>
        <w:pStyle w:val="Heading2"/>
      </w:pPr>
      <w:r>
        <w:t xml:space="preserve">Problématique</w:t>
      </w:r>
    </w:p>
    <w:p>
      <w:pPr>
        <w:spacing w:after="120"/>
      </w:pPr>
      <w:r>
        <w:t xml:space="preserve">Le principe des « quatre yeux » est une règle simple : aucune modification importante ne passe en production sans qu’au moins deux personnes l’aient validée. Une qui produit, deux qui regardent — d’où les quatre yeux. En contexte bancaire, ce n’est pas une bonne pratique parmi d’autres : c’est une exigence de gouvernance et de conformité. Pourtant, beaucoup de squads la perçoivent comme une lourdeur (« on perd du temps à faire valider »), faute d’en comprendre l’enjeu réel. Le sujet de cet atelier est de faire comprendre ce POURQUOI avant de configurer les règles (#138) : pourquoi deux approbateurs, pourquoi l’auteur ne peut pas s’auto-approuver, pourquoi c’est particulièrement crucial en banque. On transforme une contrainte subie en règle comprise et assumée.</w:t>
      </w:r>
    </w:p>
    <w:p>
      <w:pPr>
        <w:pStyle w:val="Heading2"/>
      </w:pPr>
      <w:r>
        <w:t xml:space="preserve">Pourquoi le principe des quatre yeux (réponse à porter)</w:t>
      </w:r>
    </w:p>
    <w:p>
      <w:pPr>
        <w:pStyle w:val="ListParagraph"/>
        <w:numPr>
          <w:ilvl w:val="0"/>
          <w:numId w:val="2"/>
        </w:numPr>
        <w:spacing w:after="80"/>
      </w:pPr>
      <w:r>
        <w:t xml:space="preserve">Une seule personne peut se tromper — ou être malveillante : un développeur seul, même excellent, a un angle mort, peut faire une erreur, ou (cas rare mais réel en banque) agir de mauvaise foi. Exiger un second regard supprime le point de défaillance unique : il faut désormais que deux personnes laissent passer la même erreur, ou s’entendent pour frauder — beaucoup moins probable. Les quatre yeux diluent le risque, qu’il soit accidentel ou intentionnel.</w:t>
      </w:r>
    </w:p>
    <w:p>
      <w:pPr>
        <w:pStyle w:val="ListParagraph"/>
        <w:numPr>
          <w:ilvl w:val="0"/>
          <w:numId w:val="2"/>
        </w:numPr>
        <w:spacing w:after="80"/>
      </w:pPr>
      <w:r>
        <w:t xml:space="preserve">L’auteur ne peut pas être son propre juge : se relire soi-même ne révèle pas ses propres angles morts — on lit ce qu’on a voulu écrire, pas ce qu’on a écrit. Exclure l’auteur de l’approbation garantit un regard RÉELLEMENT extérieur. Une auto-approbation n’est pas une revue, c’est une signature de complaisance. C’est pourquoi « auteur exclu » est indissociable des deux approbateurs.</w:t>
      </w:r>
    </w:p>
    <w:p>
      <w:pPr>
        <w:pStyle w:val="ListParagraph"/>
        <w:numPr>
          <w:ilvl w:val="0"/>
          <w:numId w:val="2"/>
        </w:numPr>
        <w:spacing w:after="80"/>
      </w:pPr>
      <w:r>
        <w:t xml:space="preserve">En banque, c’est une exigence de séparation des responsabilités : la réglementation bancaire impose la séparation des tâches (segregation of duties) — celui qui produit n’est pas celui qui valide. Le principe des quatre yeux applique cette règle au code : il rend traçable et auditable le fait que chaque changement a été validé par quelqu’un d’autre que son auteur. Ce n’est pas du zèle, c’est de la conformité — un auditeur peut le vérifier.</w:t>
      </w:r>
    </w:p>
    <w:p>
      <w:pPr>
        <w:pStyle w:val="ListParagraph"/>
        <w:numPr>
          <w:ilvl w:val="0"/>
          <w:numId w:val="2"/>
        </w:numPr>
        <w:spacing w:after="80"/>
      </w:pPr>
      <w:r>
        <w:t xml:space="preserve">C’est une protection pour le développeur, pas une défiance : faire valider son code par deux pairs, ce n’est pas être suspecté — c’est être protégé. Si un problème survient en production, le développeur n’est pas seul responsable : le changement a été validé collectivement. Les quatre yeux répartissent la responsabilité et sécurisent chacun. Bien expliqué, le principe rassure au lieu de braquer.</w:t>
      </w:r>
    </w:p>
    <w:p>
      <w:pPr>
        <w:pStyle w:val="Heading2"/>
      </w:pPr>
      <w:r>
        <w:t xml:space="preserve">Faire comprendre l’enjeu (leviers concrets)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LE PRINCIPE DES QUATRE YEUX</w:t>
            </w:r>
          </w:p>
          <w:p>
            <w:r>
              <w:rPr>
                <w:rFonts w:ascii="Consolas" w:cs="Consolas" w:eastAsia="Consolas" w:hAnsi="Consolas"/>
                <w:sz w:val="18"/>
                <w:szCs w:val="18"/>
              </w:rPr>
              <w:t xml:space="preserve"> </w:t>
            </w:r>
          </w:p>
          <w:p>
            <w:r>
              <w:rPr>
                <w:rFonts w:ascii="Consolas" w:cs="Consolas" w:eastAsia="Consolas" w:hAnsi="Consolas"/>
                <w:sz w:val="18"/>
                <w:szCs w:val="18"/>
              </w:rPr>
              <w:t xml:space="preserve">  1 personne produit  +  2 personnes valident</w:t>
            </w:r>
          </w:p>
          <w:p>
            <w:r>
              <w:rPr>
                <w:rFonts w:ascii="Consolas" w:cs="Consolas" w:eastAsia="Consolas" w:hAnsi="Consolas"/>
                <w:sz w:val="18"/>
                <w:szCs w:val="18"/>
              </w:rPr>
              <w:t xml:space="preserve">         (l'auteur)        (approbateurs, auteur EXCLU)</w:t>
            </w:r>
          </w:p>
          <w:p>
            <w:r>
              <w:rPr>
                <w:rFonts w:ascii="Consolas" w:cs="Consolas" w:eastAsia="Consolas" w:hAnsi="Consolas"/>
                <w:sz w:val="18"/>
                <w:szCs w:val="18"/>
              </w:rPr>
              <w:t xml:space="preserve"> </w:t>
            </w:r>
          </w:p>
          <w:p>
            <w:r>
              <w:rPr>
                <w:rFonts w:ascii="Consolas" w:cs="Consolas" w:eastAsia="Consolas" w:hAnsi="Consolas"/>
                <w:sz w:val="18"/>
                <w:szCs w:val="18"/>
              </w:rPr>
              <w:t xml:space="preserve">  Pourquoi 2 valideurs, auteur exclu :</w:t>
            </w:r>
          </w:p>
          <w:p>
            <w:r>
              <w:rPr>
                <w:rFonts w:ascii="Consolas" w:cs="Consolas" w:eastAsia="Consolas" w:hAnsi="Consolas"/>
                <w:sz w:val="18"/>
                <w:szCs w:val="18"/>
              </w:rPr>
              <w:t xml:space="preserve">    - supprime le point de défaillance unique</w:t>
            </w:r>
          </w:p>
          <w:p>
            <w:r>
              <w:rPr>
                <w:rFonts w:ascii="Consolas" w:cs="Consolas" w:eastAsia="Consolas" w:hAnsi="Consolas"/>
                <w:sz w:val="18"/>
                <w:szCs w:val="18"/>
              </w:rPr>
              <w:t xml:space="preserve">    - garantit un regard réellement extérieur</w:t>
            </w:r>
          </w:p>
          <w:p>
            <w:r>
              <w:rPr>
                <w:rFonts w:ascii="Consolas" w:cs="Consolas" w:eastAsia="Consolas" w:hAnsi="Consolas"/>
                <w:sz w:val="18"/>
                <w:szCs w:val="18"/>
              </w:rPr>
              <w:t xml:space="preserve">    - sépare 'produire' et 'valider' (exigence banque)</w:t>
            </w:r>
          </w:p>
          <w:p>
            <w:r>
              <w:rPr>
                <w:rFonts w:ascii="Consolas" w:cs="Consolas" w:eastAsia="Consolas" w:hAnsi="Consolas"/>
                <w:sz w:val="18"/>
                <w:szCs w:val="18"/>
              </w:rPr>
              <w:t xml:space="preserve">    - rend chaque changement auditable</w:t>
            </w:r>
          </w:p>
          <w:p>
            <w:r>
              <w:rPr>
                <w:rFonts w:ascii="Consolas" w:cs="Consolas" w:eastAsia="Consolas" w:hAnsi="Consolas"/>
                <w:sz w:val="18"/>
                <w:szCs w:val="18"/>
              </w:rPr>
              <w:t xml:space="preserve">    - protège l'auteur (responsabilité partagée)</w:t>
            </w:r>
          </w:p>
          <w:p>
            <w:r>
              <w:rPr>
                <w:rFonts w:ascii="Consolas" w:cs="Consolas" w:eastAsia="Consolas" w:hAnsi="Consolas"/>
                <w:sz w:val="18"/>
                <w:szCs w:val="18"/>
              </w:rPr>
              <w:t xml:space="preserve"> </w:t>
            </w:r>
          </w:p>
          <w:p>
            <w:r>
              <w:rPr>
                <w:rFonts w:ascii="Consolas" w:cs="Consolas" w:eastAsia="Consolas" w:hAnsi="Consolas"/>
                <w:sz w:val="18"/>
                <w:szCs w:val="18"/>
              </w:rPr>
              <w:t xml:space="preserve">  Ce n'est pas une lourdeur : c'est une exigence de</w:t>
            </w:r>
          </w:p>
          <w:p>
            <w:r>
              <w:rPr>
                <w:rFonts w:ascii="Consolas" w:cs="Consolas" w:eastAsia="Consolas" w:hAnsi="Consolas"/>
                <w:sz w:val="18"/>
                <w:szCs w:val="18"/>
              </w:rPr>
              <w:t xml:space="preserve">  gouvernance, traçable et auditable, qui protège</w:t>
            </w:r>
          </w:p>
          <w:p>
            <w:r>
              <w:rPr>
                <w:rFonts w:ascii="Consolas" w:cs="Consolas" w:eastAsia="Consolas" w:hAnsi="Consolas"/>
                <w:sz w:val="18"/>
                <w:szCs w:val="18"/>
              </w:rPr>
              <w:t xml:space="preserve">  la squad ET la banque.</w:t>
            </w:r>
          </w:p>
        </w:tc>
      </w:tr>
    </w:tbl>
    <w:p>
      <w:pPr>
        <w:pStyle w:val="ListParagraph"/>
        <w:numPr>
          <w:ilvl w:val="0"/>
          <w:numId w:val="2"/>
        </w:numPr>
        <w:spacing w:after="80"/>
      </w:pPr>
      <w:r>
        <w:t xml:space="preserve">Partir de la perception (« c’est lourd ») et la retourner : reconnaître la perception de lourdeur, puis montrer ce que la règle protège réellement. Le retournement (« ce n’est pas contre vous, c’est pour vous ») désamorce la résistance.</w:t>
      </w:r>
    </w:p>
    <w:p>
      <w:pPr>
        <w:pStyle w:val="ListParagraph"/>
        <w:numPr>
          <w:ilvl w:val="0"/>
          <w:numId w:val="2"/>
        </w:numPr>
        <w:spacing w:after="80"/>
      </w:pPr>
      <w:r>
        <w:t xml:space="preserve">Ancrer dans le contexte bancaire concret : expliquer la séparation des responsabilités avec des exemples parlants — un changement sur un calcul d’intérêts, sur une donnée client. L’enjeu n’est pas théorique : une erreur non vue peut avoir des conséquences réelles, et l’audit le vérifiera.</w:t>
      </w:r>
    </w:p>
    <w:p>
      <w:pPr>
        <w:pStyle w:val="ListParagraph"/>
        <w:numPr>
          <w:ilvl w:val="0"/>
          <w:numId w:val="2"/>
        </w:numPr>
        <w:spacing w:after="80"/>
      </w:pPr>
      <w:r>
        <w:t xml:space="preserve">Faire la distinction auto-approbation vs revue : montrer pourquoi se relire soi-même ne suffit pas (angle mort). L’exclusion de l’auteur n’est pas une formalité, c’est ce qui rend la revue réelle.</w:t>
      </w:r>
    </w:p>
    <w:p>
      <w:pPr>
        <w:pStyle w:val="ListParagraph"/>
        <w:numPr>
          <w:ilvl w:val="0"/>
          <w:numId w:val="2"/>
        </w:numPr>
        <w:spacing w:after="80"/>
      </w:pPr>
      <w:r>
        <w:t xml:space="preserve">Présenter la règle comme une protection collective : insister sur la responsabilité partagée — la règle sécurise le développeur autant que la banque. C’est ce cadrage qui fait accepter la configuration à venir (#138-141).</w:t>
      </w:r>
    </w:p>
    <w:p>
      <w:pPr>
        <w:pStyle w:val="Heading2"/>
      </w:pPr>
      <w:r>
        <w:t xml:space="preserve">Objectif de l’atelier</w:t>
      </w:r>
    </w:p>
    <w:p>
      <w:pPr>
        <w:spacing w:after="120"/>
      </w:pPr>
      <w:r>
        <w:t xml:space="preserve">À la sortie, la squad comprend l’enjeu du principe des quatre yeux : pourquoi deux approbateurs (supprimer le point de défaillance unique, regard extérieur réel), pourquoi l’auteur est exclu (se relire ne révèle pas ses angles morts), et pourquoi c’est crucial en banque (séparation des responsabilités, auditabilité, conformité). La règle est désormais perçue comme une protection collective et une exigence légitime, pas comme une lourdeur. La squad est prête à configurer les règles d’approbation (#138) en les assumant. La mesure Approval rules du hub a son point de départ, prête à basculer vers « 2+ approbateurs, auteur exclu ».</w:t>
      </w:r>
    </w:p>
    <w:p>
      <w:pPr>
        <w:pStyle w:val="Heading2"/>
      </w:pPr>
      <w:r>
        <w:t xml:space="preserve">Board Klaxoon</w:t>
      </w:r>
    </w:p>
    <w:p>
      <w:pPr>
        <w:spacing w:after="120"/>
      </w:pPr>
      <w:r>
        <w:rPr>
          <w:b w:val="false"/>
          <w:bCs w:val="false"/>
        </w:rPr>
        <w:t xml:space="preserve">Template recommandé : Le principe des quatre yeux.</w:t>
      </w:r>
    </w:p>
    <w:p>
      <w:pPr>
        <w:pStyle w:val="ListParagraph"/>
        <w:numPr>
          <w:ilvl w:val="0"/>
          <w:numId w:val="2"/>
        </w:numPr>
        <w:spacing w:after="80"/>
      </w:pPr>
      <w:r>
        <w:t xml:space="preserve">Zone « La perception » — « c’est lourd » : ce qu’on en pense au départ.</w:t>
      </w:r>
    </w:p>
    <w:p>
      <w:pPr>
        <w:pStyle w:val="ListParagraph"/>
        <w:numPr>
          <w:ilvl w:val="0"/>
          <w:numId w:val="2"/>
        </w:numPr>
        <w:spacing w:after="80"/>
      </w:pPr>
      <w:r>
        <w:t xml:space="preserve">Zone « Ce que ça protège » — point de défaillance unique, regard extérieur, conformité.</w:t>
      </w:r>
    </w:p>
    <w:p>
      <w:pPr>
        <w:pStyle w:val="ListParagraph"/>
        <w:numPr>
          <w:ilvl w:val="0"/>
          <w:numId w:val="2"/>
        </w:numPr>
        <w:spacing w:after="80"/>
      </w:pPr>
      <w:r>
        <w:t xml:space="preserve">Zone « En banque » — séparation des responsabilités, auditabilité.</w:t>
      </w:r>
    </w:p>
    <w:p>
      <w:pPr>
        <w:pStyle w:val="ListParagraph"/>
        <w:numPr>
          <w:ilvl w:val="0"/>
          <w:numId w:val="2"/>
        </w:numPr>
        <w:spacing w:after="80"/>
      </w:pPr>
      <w:r>
        <w:t xml:space="preserve">Zone « Une protection » — la responsabilité partagée qui sécurise le développeur.</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la question franchement : pourquoi se faire valider, est-ce vraiment utile ?</w:t>
      </w:r>
    </w:p>
    <w:p>
      <w:pPr>
        <w:pStyle w:val="ListParagraph"/>
        <w:numPr>
          <w:ilvl w:val="0"/>
          <w:numId w:val="2"/>
        </w:numPr>
        <w:spacing w:after="80"/>
      </w:pPr>
      <w:r>
        <w:rPr>
          <w:b/>
          <w:bCs/>
        </w:rPr>
        <w:t xml:space="preserve">(12 min) Le risque d’un seul valideur</w:t>
      </w:r>
      <w:r>
        <w:t xml:space="preserve"> — erreur, angle mort, malveillance : pourquoi une personne seule ne suffit pas.</w:t>
      </w:r>
    </w:p>
    <w:p>
      <w:pPr>
        <w:pStyle w:val="ListParagraph"/>
        <w:numPr>
          <w:ilvl w:val="0"/>
          <w:numId w:val="2"/>
        </w:numPr>
        <w:spacing w:after="80"/>
      </w:pPr>
      <w:r>
        <w:rPr>
          <w:b/>
          <w:bCs/>
        </w:rPr>
        <w:t xml:space="preserve">(10 min) L’auteur ne se juge pas lui-même</w:t>
      </w:r>
      <w:r>
        <w:t xml:space="preserve"> — auto-approbation vs revue réelle, l’importance de l’exclusion de l’auteur.</w:t>
      </w:r>
    </w:p>
    <w:p>
      <w:pPr>
        <w:pStyle w:val="ListParagraph"/>
        <w:numPr>
          <w:ilvl w:val="0"/>
          <w:numId w:val="2"/>
        </w:numPr>
        <w:spacing w:after="80"/>
      </w:pPr>
      <w:r>
        <w:rPr>
          <w:b/>
          <w:bCs/>
        </w:rPr>
        <w:t xml:space="preserve">(10 min) L’enjeu bancaire</w:t>
      </w:r>
      <w:r>
        <w:t xml:space="preserve"> — séparation des responsabilités, auditabilité, conformité, avec exemples concrets.</w:t>
      </w:r>
    </w:p>
    <w:p>
      <w:pPr>
        <w:pStyle w:val="ListParagraph"/>
        <w:numPr>
          <w:ilvl w:val="0"/>
          <w:numId w:val="2"/>
        </w:numPr>
        <w:spacing w:after="80"/>
      </w:pPr>
      <w:r>
        <w:rPr>
          <w:b/>
          <w:bCs/>
        </w:rPr>
        <w:t xml:space="preserve">(5 min) Une protection collective</w:t>
      </w:r>
      <w:r>
        <w:t xml:space="preserve"> — retourner la perception : la règle protège le développeur autant que la banque.</w:t>
      </w:r>
    </w:p>
    <w:p>
      <w:pPr>
        <w:pStyle w:val="ListParagraph"/>
        <w:numPr>
          <w:ilvl w:val="0"/>
          <w:numId w:val="2"/>
        </w:numPr>
        <w:spacing w:after="80"/>
      </w:pPr>
      <w:r>
        <w:rPr>
          <w:b/>
          <w:bCs/>
        </w:rPr>
        <w:t xml:space="preserve">(3 min) Débrief</w:t>
      </w:r>
      <w:r>
        <w:t xml:space="preserve"> — on constate : la règle est comprise et assumée. Place à la configuration (#138).</w:t>
      </w:r>
    </w:p>
    <w:p>
      <w:pPr>
        <w:pStyle w:val="Heading2"/>
      </w:pPr>
      <w:r>
        <w:t xml:space="preserve">Livrable de l’atelier</w:t>
      </w:r>
    </w:p>
    <w:p>
      <w:pPr>
        <w:pStyle w:val="ListParagraph"/>
        <w:numPr>
          <w:ilvl w:val="0"/>
          <w:numId w:val="2"/>
        </w:numPr>
        <w:spacing w:after="80"/>
      </w:pPr>
      <w:r>
        <w:t xml:space="preserve">La compréhension partagée du principe des quatre yeux et de son enjeu.</w:t>
      </w:r>
    </w:p>
    <w:p>
      <w:pPr>
        <w:pStyle w:val="ListParagraph"/>
        <w:numPr>
          <w:ilvl w:val="0"/>
          <w:numId w:val="2"/>
        </w:numPr>
        <w:spacing w:after="80"/>
      </w:pPr>
      <w:r>
        <w:t xml:space="preserve">La justification bancaire (séparation des responsabilités, auditabilité) appropriée.</w:t>
      </w:r>
    </w:p>
    <w:p>
      <w:pPr>
        <w:pStyle w:val="ListParagraph"/>
        <w:numPr>
          <w:ilvl w:val="0"/>
          <w:numId w:val="2"/>
        </w:numPr>
        <w:spacing w:after="80"/>
      </w:pPr>
      <w:r>
        <w:t xml:space="preserve">La distinction claire entre auto-approbation et revue réelle.</w:t>
      </w:r>
    </w:p>
    <w:p>
      <w:pPr>
        <w:pStyle w:val="ListParagraph"/>
        <w:numPr>
          <w:ilvl w:val="0"/>
          <w:numId w:val="2"/>
        </w:numPr>
        <w:spacing w:after="80"/>
      </w:pPr>
      <w:r>
        <w:t xml:space="preserve">Une règle perçue comme protection collective, prête à être configurée (#138).</w:t>
      </w:r>
    </w:p>
    <w:p>
      <w:pPr>
        <w:pStyle w:val="Heading2"/>
      </w:pPr>
      <w:r>
        <w:t xml:space="preserve">Articulation Q02 (ce qui suit)</w:t>
      </w:r>
    </w:p>
    <w:p>
      <w:pPr>
        <w:spacing w:after="120"/>
      </w:pPr>
      <w:r>
        <w:t xml:space="preserve">Cette compréhension ouvre Q02. La suite configure : #138 (activer les règles — 2 approbateurs minimum, auteur exclu), #139 (accompagner le passage à 2 approbateurs et son acceptation), #140 (« Prevent approvals by committers » — le paramètre complémentaire), #141 (finaliser — « Reset approvals on push » et « Prevent editing approval rules »). Le pourquoi posé ici rend ces configurations acceptées, pas subies.</w:t>
      </w:r>
    </w:p>
    <w:p>
      <w:pPr>
        <w:pStyle w:val="Heading2"/>
      </w:pPr>
      <w:r>
        <w:t xml:space="preserve">Critère de réussite</w:t>
      </w:r>
    </w:p>
    <w:p>
      <w:pPr>
        <w:spacing w:after="120"/>
      </w:pPr>
      <w:r>
        <w:t xml:space="preserve">La squad comprend l’enjeu du principe des quatre yeux : pourquoi deux approbateurs, pourquoi l’auteur est exclu, et pourquoi c’est crucial en banque (séparation des responsabilités, auditabilité, conformité). La règle est désormais perçue comme une protection collective légitime, pas une lourdeur — condition pour qu’elle soit acceptée et tenue, pas contournée. La question Q02 pose sa sensibilisation métier, et la mesure Approval rules du hub est prête à basculer dès la configuration (#138).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2026-06-26T12:58:00.774Z</dcterms:created>
  <dcterms:modified xsi:type="dcterms:W3CDTF">2026-06-26T12:58:00.775Z</dcterms:modified>
</cp:coreProperties>
</file>

<file path=docProps/custom.xml><?xml version="1.0" encoding="utf-8"?>
<Properties xmlns="http://schemas.openxmlformats.org/officeDocument/2006/custom-properties" xmlns:vt="http://schemas.openxmlformats.org/officeDocument/2006/docPropsVTypes"/>
</file>