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#162 — Documenter ce que seul l’expert sait</w:t>
      </w:r>
    </w:p>
    <w:p>
      <w:pPr>
        <w:spacing w:after="160"/>
      </w:pPr>
      <w:r>
        <w:rPr>
          <w:i/>
          <w:iCs/>
        </w:rPr>
        <w:t xml:space="preserve">Axe Résilience — Question R01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Résilience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(R01)</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La connaissance est-elle partagée (bus factor sain)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 Progrès 🟡 — Diffusion en cours : capturer l’explicite par la doc</w:t>
            </w:r>
          </w:p>
        </w:tc>
      </w:tr>
      <w:tr>
        <w:tc>
          <w:tcPr>
            <w:tcW w:type="dxa" w:w="2600"/>
            <w:tcBorders>
              <w:top w:val="single" w:color="CCCCCC" w:sz="1"/>
              <w:left w:val="single" w:color="CCCCCC" w:sz="1"/>
              <w:bottom w:val="single" w:color="CCCCCC" w:sz="1"/>
              <w:right w:val="single" w:color="CCCCCC" w:sz="1"/>
            </w:tcBorders>
            <w:shd w:fill="FCE4C4" w:val="clear"/>
            <w:tcMar>
              <w:top w:type="dxa" w:w="80"/>
              <w:left w:type="dxa" w:w="120"/>
              <w:bottom w:type="dxa" w:w="80"/>
              <w:right w:type="dxa" w:w="120"/>
            </w:tcMar>
          </w:tcPr>
          <w:p>
            <w:r>
              <w:rPr>
                <w:b/>
                <w:bCs/>
              </w:rPr>
              <w:t xml:space="preserve">Mesure pilotée (Hub)</w:t>
            </w:r>
          </w:p>
        </w:tc>
        <w:tc>
          <w:tcPr>
            <w:tcW w:type="dxa" w:w="67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r>
              <w:rPr>
                <w:b/>
                <w:bCs/>
              </w:rPr>
              <w:t xml:space="preserve">Bus factor — capture la connaissance documentable des zones critiques, complément durable du pairing et de la rotation.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45 min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La squad (Dev + Ops), experts des zones critiques, écran partagé</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Atelier de formalisation : documenter les zones critiques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Zones critiques identifiées (#158), diffusion amorcée (#160-161)</w:t>
            </w:r>
          </w:p>
        </w:tc>
      </w:tr>
    </w:tbl>
    <w:p>
      <w:pPr>
        <w:pStyle w:val="Heading2"/>
      </w:pPr>
      <w:r>
        <w:t xml:space="preserve">Problématique</w:t>
      </w:r>
    </w:p>
    <w:p>
      <w:pPr>
        <w:spacing w:after="120"/>
      </w:pPr>
      <w:r>
        <w:t xml:space="preserve">Le pairing (#160) et la rotation (#161) transmettent la connaissance tacite par la pratique. Mais une partie de la connaissance d’une zone critique est EXPLICITE et documentable : comment ça s’architecture, pourquoi tel choix, comment déployer, quels pièges éviter, qui contacter. Cette connaissance-là gagne à être écrite — pour ne pas dépendre uniquement de la mémoire des personnes, et pour servir de référence durable. Le sujet de cet atelier est de documenter les zones critiques : formaliser ce que seul l’expert sait aujourd’hui, dans une documentation utile et maintenue. Attention : il ne s’agit pas de tout documenter (illusoire et vite obsolète), mais de capturer l’essentiel qui débloque — ce qui permettrait à quelqu’un de reprendre la zone. La doc complète le pairing : l’un transmet le tacite, l’autre fixe l’explicite.</w:t>
      </w:r>
    </w:p>
    <w:p>
      <w:pPr>
        <w:pStyle w:val="Heading2"/>
      </w:pPr>
      <w:r>
        <w:t xml:space="preserve">Pourquoi documenter (et quoi) (réponse à porter)</w:t>
      </w:r>
    </w:p>
    <w:p>
      <w:pPr>
        <w:pStyle w:val="ListParagraph"/>
        <w:numPr>
          <w:ilvl w:val="0"/>
          <w:numId w:val="2"/>
        </w:numPr>
        <w:spacing w:after="80"/>
      </w:pPr>
      <w:r>
        <w:t xml:space="preserve">La doc fixe ce que la mémoire oublie : même après pairing, des détails explicites (une procédure de déploiement, un piège connu) se perdent s’ils ne sont écrits nulle part. La doc est la mémoire durable de la zone — elle ne remplace pas la pratique, elle la complète.</w:t>
      </w:r>
    </w:p>
    <w:p>
      <w:pPr>
        <w:pStyle w:val="ListParagraph"/>
        <w:numPr>
          <w:ilvl w:val="0"/>
          <w:numId w:val="2"/>
        </w:numPr>
        <w:spacing w:after="80"/>
      </w:pPr>
      <w:r>
        <w:t xml:space="preserve">Documenter l’essentiel qui débloque, pas tout : tout documenter est impossible et produit une doc obsolète que personne ne lit. Cibler ce qui DÉBLOQUE — l’architecture d’ensemble, les décisions clés, les procédures critiques, les pièges — donne une doc courte et utile. La valeur est dans la sélection, pas l’exhaustivité.</w:t>
      </w:r>
    </w:p>
    <w:p>
      <w:pPr>
        <w:pStyle w:val="ListParagraph"/>
        <w:numPr>
          <w:ilvl w:val="0"/>
          <w:numId w:val="2"/>
        </w:numPr>
        <w:spacing w:after="80"/>
      </w:pPr>
      <w:r>
        <w:t xml:space="preserve">La doc sert de filet, pas de substitut à la connaissance : une bonne doc permet à quelqu’un qui a des bases de reprendre la zone — pas de partir de zéro. Elle complète le pairing (#160) et la rotation (#161) : ensemble, ils couvrent le tacite (pratique) et l’explicite (doc). Ni l’un ni l’autre seul ne suffit.</w:t>
      </w:r>
    </w:p>
    <w:p>
      <w:pPr>
        <w:pStyle w:val="ListParagraph"/>
        <w:numPr>
          <w:ilvl w:val="0"/>
          <w:numId w:val="2"/>
        </w:numPr>
        <w:spacing w:after="80"/>
      </w:pPr>
      <w:r>
        <w:t xml:space="preserve">Une doc non maintenue est pire que pas de doc : une doc fausse induit en erreur. Documenter implique de prévoir comment la maintenir (la rapprocher du code, la mettre à jour aux changements). Mieux vaut une doc courte tenue à jour qu’un pavé obsolète. La maintenabilité fait partie du livrable.</w:t>
      </w:r>
    </w:p>
    <w:p>
      <w:pPr>
        <w:pStyle w:val="Heading2"/>
      </w:pPr>
      <w:r>
        <w:t xml:space="preserve">Documenter utile (leviers concrets)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nsolas" w:cs="Consolas" w:eastAsia="Consolas" w:hAnsi="Consolas"/>
                <w:sz w:val="18"/>
                <w:szCs w:val="18"/>
              </w:rPr>
              <w:t xml:space="preserve">DOCUMENTER UNE ZONE CRITIQUE — l'essentiel qui débloque</w:t>
            </w:r>
          </w:p>
          <w:p>
            <w:r>
              <w:rPr>
                <w:rFonts w:ascii="Consolas" w:cs="Consolas" w:eastAsia="Consolas" w:hAnsi="Consolas"/>
                <w:sz w:val="18"/>
                <w:szCs w:val="18"/>
              </w:rPr>
              <w:t xml:space="preserve"> </w:t>
            </w:r>
          </w:p>
          <w:p>
            <w:r>
              <w:rPr>
                <w:rFonts w:ascii="Consolas" w:cs="Consolas" w:eastAsia="Consolas" w:hAnsi="Consolas"/>
                <w:sz w:val="18"/>
                <w:szCs w:val="18"/>
              </w:rPr>
              <w:t xml:space="preserve">  À capturer (court, utile) :</w:t>
            </w:r>
          </w:p>
          <w:p>
            <w:r>
              <w:rPr>
                <w:rFonts w:ascii="Consolas" w:cs="Consolas" w:eastAsia="Consolas" w:hAnsi="Consolas"/>
                <w:sz w:val="18"/>
                <w:szCs w:val="18"/>
              </w:rPr>
              <w:t xml:space="preserve">    - vue d'ensemble : à quoi sert cette zone, comment</w:t>
            </w:r>
          </w:p>
          <w:p>
            <w:r>
              <w:rPr>
                <w:rFonts w:ascii="Consolas" w:cs="Consolas" w:eastAsia="Consolas" w:hAnsi="Consolas"/>
                <w:sz w:val="18"/>
                <w:szCs w:val="18"/>
              </w:rPr>
              <w:t xml:space="preserve">      elle s'articule</w:t>
            </w:r>
          </w:p>
          <w:p>
            <w:r>
              <w:rPr>
                <w:rFonts w:ascii="Consolas" w:cs="Consolas" w:eastAsia="Consolas" w:hAnsi="Consolas"/>
                <w:sz w:val="18"/>
                <w:szCs w:val="18"/>
              </w:rPr>
              <w:t xml:space="preserve">    - décisions clés : pourquoi tel choix (pas évident)</w:t>
            </w:r>
          </w:p>
          <w:p>
            <w:r>
              <w:rPr>
                <w:rFonts w:ascii="Consolas" w:cs="Consolas" w:eastAsia="Consolas" w:hAnsi="Consolas"/>
                <w:sz w:val="18"/>
                <w:szCs w:val="18"/>
              </w:rPr>
              <w:t xml:space="preserve">    - procédures critiques : déployer, configurer, restaurer</w:t>
            </w:r>
          </w:p>
          <w:p>
            <w:r>
              <w:rPr>
                <w:rFonts w:ascii="Consolas" w:cs="Consolas" w:eastAsia="Consolas" w:hAnsi="Consolas"/>
                <w:sz w:val="18"/>
                <w:szCs w:val="18"/>
              </w:rPr>
              <w:t xml:space="preserve">    - pièges connus : 'attention à X', 'ne jamais Y'</w:t>
            </w:r>
          </w:p>
          <w:p>
            <w:r>
              <w:rPr>
                <w:rFonts w:ascii="Consolas" w:cs="Consolas" w:eastAsia="Consolas" w:hAnsi="Consolas"/>
                <w:sz w:val="18"/>
                <w:szCs w:val="18"/>
              </w:rPr>
              <w:t xml:space="preserve">    - contacts / dépendances externes</w:t>
            </w:r>
          </w:p>
          <w:p>
            <w:r>
              <w:rPr>
                <w:rFonts w:ascii="Consolas" w:cs="Consolas" w:eastAsia="Consolas" w:hAnsi="Consolas"/>
                <w:sz w:val="18"/>
                <w:szCs w:val="18"/>
              </w:rPr>
              <w:t xml:space="preserve"> </w:t>
            </w:r>
          </w:p>
          <w:p>
            <w:r>
              <w:rPr>
                <w:rFonts w:ascii="Consolas" w:cs="Consolas" w:eastAsia="Consolas" w:hAnsi="Consolas"/>
                <w:sz w:val="18"/>
                <w:szCs w:val="18"/>
              </w:rPr>
              <w:t xml:space="preserve">  À NE PAS faire :</w:t>
            </w:r>
          </w:p>
          <w:p>
            <w:r>
              <w:rPr>
                <w:rFonts w:ascii="Consolas" w:cs="Consolas" w:eastAsia="Consolas" w:hAnsi="Consolas"/>
                <w:sz w:val="18"/>
                <w:szCs w:val="18"/>
              </w:rPr>
              <w:t xml:space="preserve">    - tout documenter ligne à ligne (obsolète vite)</w:t>
            </w:r>
          </w:p>
          <w:p>
            <w:r>
              <w:rPr>
                <w:rFonts w:ascii="Consolas" w:cs="Consolas" w:eastAsia="Consolas" w:hAnsi="Consolas"/>
                <w:sz w:val="18"/>
                <w:szCs w:val="18"/>
              </w:rPr>
              <w:t xml:space="preserve">    - dupliquer ce que le code dit déjà clairement</w:t>
            </w:r>
          </w:p>
          <w:p>
            <w:r>
              <w:rPr>
                <w:rFonts w:ascii="Consolas" w:cs="Consolas" w:eastAsia="Consolas" w:hAnsi="Consolas"/>
                <w:sz w:val="18"/>
                <w:szCs w:val="18"/>
              </w:rPr>
              <w:t xml:space="preserve"> </w:t>
            </w:r>
          </w:p>
          <w:p>
            <w:r>
              <w:rPr>
                <w:rFonts w:ascii="Consolas" w:cs="Consolas" w:eastAsia="Consolas" w:hAnsi="Consolas"/>
                <w:sz w:val="18"/>
                <w:szCs w:val="18"/>
              </w:rPr>
              <w:t xml:space="preserve">  Où : près du code (README de la zone, wiki lié au repo)</w:t>
            </w:r>
          </w:p>
          <w:p>
            <w:r>
              <w:rPr>
                <w:rFonts w:ascii="Consolas" w:cs="Consolas" w:eastAsia="Consolas" w:hAnsi="Consolas"/>
                <w:sz w:val="18"/>
                <w:szCs w:val="18"/>
              </w:rPr>
              <w:t xml:space="preserve">  Maintien : mise à jour à chaque changement notable.</w:t>
            </w:r>
          </w:p>
        </w:tc>
      </w:tr>
    </w:tbl>
    <w:p>
      <w:pPr>
        <w:pStyle w:val="ListParagraph"/>
        <w:numPr>
          <w:ilvl w:val="0"/>
          <w:numId w:val="2"/>
        </w:numPr>
        <w:spacing w:after="80"/>
      </w:pPr>
      <w:r>
        <w:t xml:space="preserve">Faire écrire l’expert, guidé par un futur second : l’expert sait, le second sait ce qui lui manque. Faire documenter l’expert en réponse aux questions du second cible l’essentiel utile — ce qui débloque vraiment quelqu’un qui reprend.</w:t>
      </w:r>
    </w:p>
    <w:p>
      <w:pPr>
        <w:pStyle w:val="ListParagraph"/>
        <w:numPr>
          <w:ilvl w:val="0"/>
          <w:numId w:val="2"/>
        </w:numPr>
        <w:spacing w:after="80"/>
      </w:pPr>
      <w:r>
        <w:t xml:space="preserve">Capturer l’essentiel, pas tout : vue d’ensemble, décisions clés, procédures critiques, pièges, contacts. Court et actionnable. Résister à la tentation de l’exhaustivité.</w:t>
      </w:r>
    </w:p>
    <w:p>
      <w:pPr>
        <w:pStyle w:val="ListParagraph"/>
        <w:numPr>
          <w:ilvl w:val="0"/>
          <w:numId w:val="2"/>
        </w:numPr>
        <w:spacing w:after="80"/>
      </w:pPr>
      <w:r>
        <w:t xml:space="preserve">Placer la doc près du code : un README dans la zone, un wiki lié au repo — là où on la trouve quand on en a besoin. Une doc loin du code est une doc oubliée.</w:t>
      </w:r>
    </w:p>
    <w:p>
      <w:pPr>
        <w:pStyle w:val="ListParagraph"/>
        <w:numPr>
          <w:ilvl w:val="0"/>
          <w:numId w:val="2"/>
        </w:numPr>
        <w:spacing w:after="80"/>
      </w:pPr>
      <w:r>
        <w:t xml:space="preserve">Prévoir le maintien : décider comment la doc reste à jour (mise à jour aux changements notables, revue périodique). Une doc maintenue est un actif ; une doc obsolète, un piège.</w:t>
      </w:r>
    </w:p>
    <w:p>
      <w:pPr>
        <w:pStyle w:val="Heading2"/>
      </w:pPr>
      <w:r>
        <w:t xml:space="preserve">Objectif de l’atelier</w:t>
      </w:r>
    </w:p>
    <w:p>
      <w:pPr>
        <w:spacing w:after="120"/>
      </w:pPr>
      <w:r>
        <w:t xml:space="preserve">À la sortie, la squad a documenté ses zones critiques : l’essentiel qui débloque (vue d’ensemble, décisions clés, procédures critiques, pièges, contacts), écrit par l’expert guidé par les questions d’un futur second, placé près du code et avec un plan de maintien. La doc capture la connaissance explicite que le pairing et la rotation ne fixent pas, sans tomber dans l’exhaustivité obsolète. Ensemble, pratique (pairing/rotation) et documentation couvrent le tacite et l’explicite des zones critiques. La mesure Bus factor du hub s’améliore : une zone documentée est plus reprenable, donc moins dépendante d’une seule personne.</w:t>
      </w:r>
    </w:p>
    <w:p>
      <w:pPr>
        <w:pStyle w:val="Heading2"/>
      </w:pPr>
      <w:r>
        <w:t xml:space="preserve">Board Klaxoon</w:t>
      </w:r>
    </w:p>
    <w:p>
      <w:pPr>
        <w:spacing w:after="120"/>
      </w:pPr>
      <w:r>
        <w:rPr>
          <w:b w:val="false"/>
          <w:bCs w:val="false"/>
        </w:rPr>
        <w:t xml:space="preserve">Template recommandé : Documenter les zones critiques.</w:t>
      </w:r>
    </w:p>
    <w:p>
      <w:pPr>
        <w:pStyle w:val="ListParagraph"/>
        <w:numPr>
          <w:ilvl w:val="0"/>
          <w:numId w:val="2"/>
        </w:numPr>
        <w:spacing w:after="80"/>
      </w:pPr>
      <w:r>
        <w:t xml:space="preserve">Zone « L’essentiel qui débloque » — vue d’ensemble, décisions, procédures, pièges.</w:t>
      </w:r>
    </w:p>
    <w:p>
      <w:pPr>
        <w:pStyle w:val="ListParagraph"/>
        <w:numPr>
          <w:ilvl w:val="0"/>
          <w:numId w:val="2"/>
        </w:numPr>
        <w:spacing w:after="80"/>
      </w:pPr>
      <w:r>
        <w:t xml:space="preserve">Zone « Écrit par l’expert, guidé par le second » — cibler ce qui manque vraiment.</w:t>
      </w:r>
    </w:p>
    <w:p>
      <w:pPr>
        <w:pStyle w:val="ListParagraph"/>
        <w:numPr>
          <w:ilvl w:val="0"/>
          <w:numId w:val="2"/>
        </w:numPr>
        <w:spacing w:after="80"/>
      </w:pPr>
      <w:r>
        <w:t xml:space="preserve">Zone « Près du code » — où placer la doc pour qu’elle serve.</w:t>
      </w:r>
    </w:p>
    <w:p>
      <w:pPr>
        <w:pStyle w:val="ListParagraph"/>
        <w:numPr>
          <w:ilvl w:val="0"/>
          <w:numId w:val="2"/>
        </w:numPr>
        <w:spacing w:after="80"/>
      </w:pPr>
      <w:r>
        <w:t xml:space="preserve">Zone « Maintien » — comment la doc reste à jour.</w:t>
      </w:r>
    </w:p>
    <w:p>
      <w:pPr>
        <w:pStyle w:val="Heading2"/>
      </w:pPr>
      <w:r>
        <w:t xml:space="preserve">Déroulé minuté</w:t>
      </w:r>
    </w:p>
    <w:p>
      <w:pPr>
        <w:pStyle w:val="ListParagraph"/>
        <w:numPr>
          <w:ilvl w:val="0"/>
          <w:numId w:val="2"/>
        </w:numPr>
        <w:spacing w:after="80"/>
      </w:pPr>
      <w:r>
        <w:rPr>
          <w:b/>
          <w:bCs/>
        </w:rPr>
        <w:t xml:space="preserve">(5 min) Cadrage</w:t>
      </w:r>
      <w:r>
        <w:t xml:space="preserve"> — l’animateur pose l’objectif : capturer l’explicite qui débloque, sans tout documenter.</w:t>
      </w:r>
    </w:p>
    <w:p>
      <w:pPr>
        <w:pStyle w:val="ListParagraph"/>
        <w:numPr>
          <w:ilvl w:val="0"/>
          <w:numId w:val="2"/>
        </w:numPr>
        <w:spacing w:after="80"/>
      </w:pPr>
      <w:r>
        <w:rPr>
          <w:b/>
          <w:bCs/>
        </w:rPr>
        <w:t xml:space="preserve">(20 min) Documenter une zone</w:t>
      </w:r>
      <w:r>
        <w:t xml:space="preserve"> — l’expert écrit l’essentiel, guidé par les questions d’un futur second.</w:t>
      </w:r>
    </w:p>
    <w:p>
      <w:pPr>
        <w:pStyle w:val="ListParagraph"/>
        <w:numPr>
          <w:ilvl w:val="0"/>
          <w:numId w:val="2"/>
        </w:numPr>
        <w:spacing w:after="80"/>
      </w:pPr>
      <w:r>
        <w:rPr>
          <w:b/>
          <w:bCs/>
        </w:rPr>
        <w:t xml:space="preserve">(8 min) Cibler et élaguer</w:t>
      </w:r>
      <w:r>
        <w:t xml:space="preserve"> — garder ce qui débloque, écarter l’exhaustif et ce que le code dit déjà.</w:t>
      </w:r>
    </w:p>
    <w:p>
      <w:pPr>
        <w:pStyle w:val="ListParagraph"/>
        <w:numPr>
          <w:ilvl w:val="0"/>
          <w:numId w:val="2"/>
        </w:numPr>
        <w:spacing w:after="80"/>
      </w:pPr>
      <w:r>
        <w:rPr>
          <w:b/>
          <w:bCs/>
        </w:rPr>
        <w:t xml:space="preserve">(7 min) Placer et planifier le maintien</w:t>
      </w:r>
      <w:r>
        <w:t xml:space="preserve"> — près du code, avec un plan de mise à jour.</w:t>
      </w:r>
    </w:p>
    <w:p>
      <w:pPr>
        <w:pStyle w:val="ListParagraph"/>
        <w:numPr>
          <w:ilvl w:val="0"/>
          <w:numId w:val="2"/>
        </w:numPr>
        <w:spacing w:after="80"/>
      </w:pPr>
      <w:r>
        <w:rPr>
          <w:b/>
          <w:bCs/>
        </w:rPr>
        <w:t xml:space="preserve">(5 min) Débrief</w:t>
      </w:r>
      <w:r>
        <w:t xml:space="preserve"> — on constate : l’explicite est fixé, la zone est plus reprenable.</w:t>
      </w:r>
    </w:p>
    <w:p>
      <w:pPr>
        <w:pStyle w:val="Heading2"/>
      </w:pPr>
      <w:r>
        <w:t xml:space="preserve">Livrable de l’atelier</w:t>
      </w:r>
    </w:p>
    <w:p>
      <w:pPr>
        <w:pStyle w:val="ListParagraph"/>
        <w:numPr>
          <w:ilvl w:val="0"/>
          <w:numId w:val="2"/>
        </w:numPr>
        <w:spacing w:after="80"/>
      </w:pPr>
      <w:r>
        <w:t xml:space="preserve">Une documentation des zones critiques ciblée sur l’essentiel qui débloque.</w:t>
      </w:r>
    </w:p>
    <w:p>
      <w:pPr>
        <w:pStyle w:val="ListParagraph"/>
        <w:numPr>
          <w:ilvl w:val="0"/>
          <w:numId w:val="2"/>
        </w:numPr>
        <w:spacing w:after="80"/>
      </w:pPr>
      <w:r>
        <w:t xml:space="preserve">Une doc écrite par l’expert, guidée par les questions d’un futur second.</w:t>
      </w:r>
    </w:p>
    <w:p>
      <w:pPr>
        <w:pStyle w:val="ListParagraph"/>
        <w:numPr>
          <w:ilvl w:val="0"/>
          <w:numId w:val="2"/>
        </w:numPr>
        <w:spacing w:after="80"/>
      </w:pPr>
      <w:r>
        <w:t xml:space="preserve">La doc placée près du code, avec un plan de maintien.</w:t>
      </w:r>
    </w:p>
    <w:p>
      <w:pPr>
        <w:pStyle w:val="Heading2"/>
      </w:pPr>
      <w:r>
        <w:t xml:space="preserve">Articulation R01 (ce qui suit)</w:t>
      </w:r>
    </w:p>
    <w:p>
      <w:pPr>
        <w:spacing w:after="120"/>
      </w:pPr>
      <w:r>
        <w:t xml:space="preserve">La doc fixe l’explicite. Reste #163 (plan de continuité — organiser qui remplace qui, sur quoi, dans quel délai), qui clôt R01 en assemblant tout : pairing, rotation, doc deviennent les ingrédients d’un plan de backup formalisé.</w:t>
      </w:r>
    </w:p>
    <w:p>
      <w:pPr>
        <w:pStyle w:val="Heading2"/>
      </w:pPr>
      <w:r>
        <w:t xml:space="preserve">Critère de réussite</w:t>
      </w:r>
    </w:p>
    <w:p>
      <w:pPr>
        <w:spacing w:after="120"/>
      </w:pPr>
      <w:r>
        <w:t xml:space="preserve">La squad a documenté ses zones critiques en capturant l’essentiel qui débloque (vue d’ensemble, décisions, procédures, pièges, contacts), écrit par l’expert guidé par un futur second, placé près du code avec un plan de maintien — sans tomber dans l’exhaustivité obsolète. La doc complète le pairing et la rotation : tacite et explicite sont couverts. La mesure Bus factor du hub s’améliore. La question R01 capture sa connaissance explicite, prête à être assemblée dans un plan de continuité (#163).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2026-06-26T13:30:01.175Z</dcterms:created>
  <dcterms:modified xsi:type="dcterms:W3CDTF">2026-06-26T13:30:01.175Z</dcterms:modified>
</cp:coreProperties>
</file>

<file path=docProps/custom.xml><?xml version="1.0" encoding="utf-8"?>
<Properties xmlns="http://schemas.openxmlformats.org/officeDocument/2006/custom-properties" xmlns:vt="http://schemas.openxmlformats.org/officeDocument/2006/docPropsVTypes"/>
</file>