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#193 — Le playbook des 5 causes d’échec les plus fréquentes</w:t>
      </w:r>
    </w:p>
    <w:p>
      <w:pPr>
        <w:spacing w:after="160"/>
      </w:pPr>
      <w:r>
        <w:rPr>
          <w:i/>
          <w:iCs/>
        </w:rPr>
        <w:t xml:space="preserve">Axe Stabilité — Question 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temps de remise au vert est-il court (recovery time &lt; 2h)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Diagnostic accéléré : capitaliser les causes fréquentes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Recovery time — capitalise : un playbook des 5 causes fréquentes et leur fix permet de résoudre les cas connus en minutes.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historique des échecs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co-construction : documenter les causes fréquentes et leur fix</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Logs lisibles (#192)</w:t>
            </w:r>
          </w:p>
        </w:tc>
      </w:tr>
    </w:tbl>
    <w:p>
      <w:pPr>
        <w:pStyle w:val="Heading2"/>
      </w:pPr>
      <w:r>
        <w:t xml:space="preserve">Problématique</w:t>
      </w:r>
    </w:p>
    <w:p>
      <w:pPr>
        <w:spacing w:after="120"/>
      </w:pPr>
      <w:r>
        <w:t xml:space="preserve">Les logs sont devenus lisibles (#192), accélérant le diagnostic. On peut aller plus loin : la plupart des échecs de pipeline ne sont pas inédits — ce sont souvent les MÊMES quelques causes qui reviennent (un test flaky connu, une dépendance qui timeout, un quota dépassé, une config oubliée). Pour ces cas récurrents, on ne devrait pas re-diagnostiquer à zéro à chaque fois. Le sujet de cet atelier est de co-construire un playbook : documenter les 5 causes d’échec les plus fréquentes de la squad et, pour chacune, comment la reconnaître et la corriger. Ainsi, face à un échec connu, on applique directement le fix du playbook — quelques minutes au lieu d’un diagnostic complet. On capitalise le savoir des incidents passés pour rendre la résolution des cas connus quasi immédiate.</w:t>
      </w:r>
    </w:p>
    <w:p>
      <w:pPr>
        <w:pStyle w:val="Heading2"/>
      </w:pPr>
      <w:r>
        <w:t xml:space="preserve">Pourquoi un playbook des causes fréquentes (réponse à porter)</w:t>
      </w:r>
    </w:p>
    <w:p>
      <w:pPr>
        <w:pStyle w:val="ListParagraph"/>
        <w:numPr>
          <w:ilvl w:val="0"/>
          <w:numId w:val="2"/>
        </w:numPr>
        <w:spacing w:after="80"/>
      </w:pPr>
      <w:r>
        <w:t xml:space="preserve">Les mêmes causes reviennent : la majorité des échecs relèvent de quelques causes récurrentes. Les documenter une fois évite de re-diagnostiquer à zéro à chaque récurrence. Le playbook capitalise le savoir au lieu de le redécouvrir.</w:t>
      </w:r>
    </w:p>
    <w:p>
      <w:pPr>
        <w:pStyle w:val="ListParagraph"/>
        <w:numPr>
          <w:ilvl w:val="0"/>
          <w:numId w:val="2"/>
        </w:numPr>
        <w:spacing w:after="80"/>
      </w:pPr>
      <w:r>
        <w:t xml:space="preserve">Reconnaître vaut mieux que diagnostiquer : avec un playbook, face à un échec, on cherche d’abord s’il correspond à une cause connue (« ah, c’est encore le timeout de la dépendance X »). Reconnaître un cas connu et appliquer son fix prend quelques minutes, contre un diagnostic complet. La reconnaissance court-circuite le diagnostic.</w:t>
      </w:r>
    </w:p>
    <w:p>
      <w:pPr>
        <w:pStyle w:val="ListParagraph"/>
        <w:numPr>
          <w:ilvl w:val="0"/>
          <w:numId w:val="2"/>
        </w:numPr>
        <w:spacing w:after="80"/>
      </w:pPr>
      <w:r>
        <w:t xml:space="preserve">Le playbook profite à toute la squad, y compris les juniors : un junior face à un échec connu peut le résoudre seul grâce au playbook, sans dépendre d’un senior. Le playbook diffuse la capacité de résolution (lien bus factor, R01) — la connaissance de résolution n’est plus dans quelques têtes.</w:t>
      </w:r>
    </w:p>
    <w:p>
      <w:pPr>
        <w:pStyle w:val="ListParagraph"/>
        <w:numPr>
          <w:ilvl w:val="0"/>
          <w:numId w:val="2"/>
        </w:numPr>
        <w:spacing w:after="80"/>
      </w:pPr>
      <w:r>
        <w:t xml:space="preserve">Documenter les causes fréquentes pointe aussi les corrections de fond : si une cause revient souvent, c’est peut-être qu’il faut la corriger durablement (stabiliser le test flaky une bonne fois). Le playbook révèle les récurrences à traiter à la racine, pas seulement à mitiger. On gagne sur deux tableaux : résolution rapide ET correction de fond.</w:t>
      </w:r>
    </w:p>
    <w:p>
      <w:pPr>
        <w:pStyle w:val="Heading2"/>
      </w:pPr>
      <w:r>
        <w:t xml:space="preserve">Construire le playbook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PLAYBOOK — top causes d'échec et leur fix</w:t>
            </w:r>
          </w:p>
          <w:p>
            <w:r>
              <w:rPr>
                <w:rFonts w:ascii="Consolas" w:cs="Consolas" w:eastAsia="Consolas" w:hAnsi="Consolas"/>
                <w:sz w:val="18"/>
                <w:szCs w:val="18"/>
              </w:rPr>
              <w:t xml:space="preserve"> </w:t>
            </w:r>
          </w:p>
          <w:p>
            <w:r>
              <w:rPr>
                <w:rFonts w:ascii="Consolas" w:cs="Consolas" w:eastAsia="Consolas" w:hAnsi="Consolas"/>
                <w:sz w:val="18"/>
                <w:szCs w:val="18"/>
              </w:rPr>
              <w:t xml:space="preserve">  Cause fréquente        | Symptôme       | Fix</w:t>
            </w:r>
          </w:p>
          <w:p>
            <w:r>
              <w:rPr>
                <w:rFonts w:ascii="Consolas" w:cs="Consolas" w:eastAsia="Consolas" w:hAnsi="Consolas"/>
                <w:sz w:val="18"/>
                <w:szCs w:val="18"/>
              </w:rPr>
              <w:t xml:space="preserve">  -----------------------|----------------|-------------</w:t>
            </w:r>
          </w:p>
          <w:p>
            <w:r>
              <w:rPr>
                <w:rFonts w:ascii="Consolas" w:cs="Consolas" w:eastAsia="Consolas" w:hAnsi="Consolas"/>
                <w:sz w:val="18"/>
                <w:szCs w:val="18"/>
              </w:rPr>
              <w:t xml:space="preserve">  Test flaky connu (X)   | échec aléatoire| relancer / </w:t>
            </w:r>
          </w:p>
          <w:p>
            <w:r>
              <w:rPr>
                <w:rFonts w:ascii="Consolas" w:cs="Consolas" w:eastAsia="Consolas" w:hAnsi="Consolas"/>
                <w:sz w:val="18"/>
                <w:szCs w:val="18"/>
              </w:rPr>
              <w:t xml:space="preserve">                         | sur test X     | corriger test</w:t>
            </w:r>
          </w:p>
          <w:p>
            <w:r>
              <w:rPr>
                <w:rFonts w:ascii="Consolas" w:cs="Consolas" w:eastAsia="Consolas" w:hAnsi="Consolas"/>
                <w:sz w:val="18"/>
                <w:szCs w:val="18"/>
              </w:rPr>
              <w:t xml:space="preserve">  Timeout dépendance Y   | erreur réseau  | relancer /</w:t>
            </w:r>
          </w:p>
          <w:p>
            <w:r>
              <w:rPr>
                <w:rFonts w:ascii="Consolas" w:cs="Consolas" w:eastAsia="Consolas" w:hAnsi="Consolas"/>
                <w:sz w:val="18"/>
                <w:szCs w:val="18"/>
              </w:rPr>
              <w:t xml:space="preserve">                         | sur Y          | fixer version</w:t>
            </w:r>
          </w:p>
          <w:p>
            <w:r>
              <w:rPr>
                <w:rFonts w:ascii="Consolas" w:cs="Consolas" w:eastAsia="Consolas" w:hAnsi="Consolas"/>
                <w:sz w:val="18"/>
                <w:szCs w:val="18"/>
              </w:rPr>
              <w:t xml:space="preserve">  Quota CI dépassé       | 'quota exceeded'| attendre /</w:t>
            </w:r>
          </w:p>
          <w:p>
            <w:r>
              <w:rPr>
                <w:rFonts w:ascii="Consolas" w:cs="Consolas" w:eastAsia="Consolas" w:hAnsi="Consolas"/>
                <w:sz w:val="18"/>
                <w:szCs w:val="18"/>
              </w:rPr>
              <w:t xml:space="preserve">                         |                | nettoyer</w:t>
            </w:r>
          </w:p>
          <w:p>
            <w:r>
              <w:rPr>
                <w:rFonts w:ascii="Consolas" w:cs="Consolas" w:eastAsia="Consolas" w:hAnsi="Consolas"/>
                <w:sz w:val="18"/>
                <w:szCs w:val="18"/>
              </w:rPr>
              <w:t xml:space="preserve">  Config manquante (Z)   | var non définie| ajouter la var</w:t>
            </w:r>
          </w:p>
          <w:p>
            <w:r>
              <w:rPr>
                <w:rFonts w:ascii="Consolas" w:cs="Consolas" w:eastAsia="Consolas" w:hAnsi="Consolas"/>
                <w:sz w:val="18"/>
                <w:szCs w:val="18"/>
              </w:rPr>
              <w:t xml:space="preserve">  Migration non jouée    | erreur schéma  | jouer la migration</w:t>
            </w:r>
          </w:p>
          <w:p>
            <w:r>
              <w:rPr>
                <w:rFonts w:ascii="Consolas" w:cs="Consolas" w:eastAsia="Consolas" w:hAnsi="Consolas"/>
                <w:sz w:val="18"/>
                <w:szCs w:val="18"/>
              </w:rPr>
              <w:t xml:space="preserve"> </w:t>
            </w:r>
          </w:p>
          <w:p>
            <w:r>
              <w:rPr>
                <w:rFonts w:ascii="Consolas" w:cs="Consolas" w:eastAsia="Consolas" w:hAnsi="Consolas"/>
                <w:sz w:val="18"/>
                <w:szCs w:val="18"/>
              </w:rPr>
              <w:t xml:space="preserve">  Face à un échec : chercher d'abord dans le playbook.</w:t>
            </w:r>
          </w:p>
        </w:tc>
      </w:tr>
    </w:tbl>
    <w:p>
      <w:pPr>
        <w:pStyle w:val="ListParagraph"/>
        <w:numPr>
          <w:ilvl w:val="0"/>
          <w:numId w:val="2"/>
        </w:numPr>
        <w:spacing w:after="80"/>
      </w:pPr>
      <w:r>
        <w:t xml:space="preserve">Identifier les causes les plus fréquentes : à partir de l’historique des échecs, repérer les 5 (ou plus) causes qui reviennent le plus. Les données du hub et la mémoire de la squad les font ressortir.</w:t>
      </w:r>
    </w:p>
    <w:p>
      <w:pPr>
        <w:pStyle w:val="ListParagraph"/>
        <w:numPr>
          <w:ilvl w:val="0"/>
          <w:numId w:val="2"/>
        </w:numPr>
        <w:spacing w:after="80"/>
      </w:pPr>
      <w:r>
        <w:t xml:space="preserve">Documenter symptôme + fix pour chacune : pour chaque cause, noter comment la reconnaître (symptôme dans les logs) et comment la corriger (le fix). Le playbook doit permettre de passer du symptôme au fix directement.</w:t>
      </w:r>
    </w:p>
    <w:p>
      <w:pPr>
        <w:pStyle w:val="ListParagraph"/>
        <w:numPr>
          <w:ilvl w:val="0"/>
          <w:numId w:val="2"/>
        </w:numPr>
        <w:spacing w:after="80"/>
      </w:pPr>
      <w:r>
        <w:t xml:space="preserve">Rendre le playbook accessible en urgence : le placer là où on le trouve vite (wiki de la squad, lien dans la notification d’échec). En situation de rouge, on le consulte d’un clic.</w:t>
      </w:r>
    </w:p>
    <w:p>
      <w:pPr>
        <w:pStyle w:val="ListParagraph"/>
        <w:numPr>
          <w:ilvl w:val="0"/>
          <w:numId w:val="2"/>
        </w:numPr>
        <w:spacing w:after="80"/>
      </w:pPr>
      <w:r>
        <w:t xml:space="preserve">Repérer les causes à corriger à la racine : si une cause revient trop, décider de la traiter durablement (stabiliser le test flaky). Le playbook n’est pas qu’un pansement — il révèle ce qu’il faut guérir.</w:t>
      </w:r>
    </w:p>
    <w:p>
      <w:pPr>
        <w:pStyle w:val="Heading2"/>
      </w:pPr>
      <w:r>
        <w:t xml:space="preserve">Objectif de l’atelier</w:t>
      </w:r>
    </w:p>
    <w:p>
      <w:pPr>
        <w:spacing w:after="120"/>
      </w:pPr>
      <w:r>
        <w:t xml:space="preserve">À la sortie, la squad a co-construit un playbook documentant ses causes d’échec les plus fréquentes (au moins 5), avec pour chacune comment la reconnaître (symptôme) et comment la corriger (fix). Face à un échec connu, la squad applique directement le fix du playbook — quelques minutes au lieu d’un diagnostic complet — et même un junior peut résoudre seul grâce au playbook (diffusion de la capacité, lien R01). Le playbook, accessible en urgence, révèle aussi les causes récurrentes à corriger à la racine. La mesure Recovery time du hub baisse fortement sur les cas connus, qui sont la majorité.</w:t>
      </w:r>
    </w:p>
    <w:p>
      <w:pPr>
        <w:pStyle w:val="Heading2"/>
      </w:pPr>
      <w:r>
        <w:t xml:space="preserve">Board Klaxoon</w:t>
      </w:r>
    </w:p>
    <w:p>
      <w:pPr>
        <w:spacing w:after="120"/>
      </w:pPr>
      <w:r>
        <w:rPr>
          <w:b w:val="false"/>
          <w:bCs w:val="false"/>
        </w:rPr>
        <w:t xml:space="preserve">Template recommandé : Notre playbook d’échecs.</w:t>
      </w:r>
    </w:p>
    <w:p>
      <w:pPr>
        <w:pStyle w:val="ListParagraph"/>
        <w:numPr>
          <w:ilvl w:val="0"/>
          <w:numId w:val="2"/>
        </w:numPr>
        <w:spacing w:after="80"/>
      </w:pPr>
      <w:r>
        <w:t xml:space="preserve">Zone « Top causes » — les 5 causes d’échec les plus fréquentes.</w:t>
      </w:r>
    </w:p>
    <w:p>
      <w:pPr>
        <w:pStyle w:val="ListParagraph"/>
        <w:numPr>
          <w:ilvl w:val="0"/>
          <w:numId w:val="2"/>
        </w:numPr>
        <w:spacing w:after="80"/>
      </w:pPr>
      <w:r>
        <w:t xml:space="preserve">Zone « Symptôme → fix » — reconnaître et corriger chacune.</w:t>
      </w:r>
    </w:p>
    <w:p>
      <w:pPr>
        <w:pStyle w:val="ListParagraph"/>
        <w:numPr>
          <w:ilvl w:val="0"/>
          <w:numId w:val="2"/>
        </w:numPr>
        <w:spacing w:after="80"/>
      </w:pPr>
      <w:r>
        <w:t xml:space="preserve">Zone « Accessible » — où trouver le playbook en urgence.</w:t>
      </w:r>
    </w:p>
    <w:p>
      <w:pPr>
        <w:pStyle w:val="ListParagraph"/>
        <w:numPr>
          <w:ilvl w:val="0"/>
          <w:numId w:val="2"/>
        </w:numPr>
        <w:spacing w:after="80"/>
      </w:pPr>
      <w:r>
        <w:t xml:space="preserve">Zone « À corriger à la racine » — les récurrences à traiter durablement.</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l’idée : les mêmes causes reviennent, capitalisons-les.</w:t>
      </w:r>
    </w:p>
    <w:p>
      <w:pPr>
        <w:pStyle w:val="ListParagraph"/>
        <w:numPr>
          <w:ilvl w:val="0"/>
          <w:numId w:val="2"/>
        </w:numPr>
        <w:spacing w:after="80"/>
      </w:pPr>
      <w:r>
        <w:rPr>
          <w:b/>
          <w:bCs/>
        </w:rPr>
        <w:t xml:space="preserve">(15 min) Identifier les causes fréquentes</w:t>
      </w:r>
      <w:r>
        <w:t xml:space="preserve"> — les 5 qui reviennent le plus (historique, hub).</w:t>
      </w:r>
    </w:p>
    <w:p>
      <w:pPr>
        <w:pStyle w:val="ListParagraph"/>
        <w:numPr>
          <w:ilvl w:val="0"/>
          <w:numId w:val="2"/>
        </w:numPr>
        <w:spacing w:after="80"/>
      </w:pPr>
      <w:r>
        <w:rPr>
          <w:b/>
          <w:bCs/>
        </w:rPr>
        <w:t xml:space="preserve">(15 min) Documenter symptôme + fix</w:t>
      </w:r>
      <w:r>
        <w:t xml:space="preserve"> — comment reconnaître et corriger chacune.</w:t>
      </w:r>
    </w:p>
    <w:p>
      <w:pPr>
        <w:pStyle w:val="ListParagraph"/>
        <w:numPr>
          <w:ilvl w:val="0"/>
          <w:numId w:val="2"/>
        </w:numPr>
        <w:spacing w:after="80"/>
      </w:pPr>
      <w:r>
        <w:rPr>
          <w:b/>
          <w:bCs/>
        </w:rPr>
        <w:t xml:space="preserve">(5 min) Rendre accessible et repérer la racine</w:t>
      </w:r>
      <w:r>
        <w:t xml:space="preserve"> — placer le playbook, noter les causes à corriger durablement.</w:t>
      </w:r>
    </w:p>
    <w:p>
      <w:pPr>
        <w:pStyle w:val="ListParagraph"/>
        <w:numPr>
          <w:ilvl w:val="0"/>
          <w:numId w:val="2"/>
        </w:numPr>
        <w:spacing w:after="80"/>
      </w:pPr>
      <w:r>
        <w:rPr>
          <w:b/>
          <w:bCs/>
        </w:rPr>
        <w:t xml:space="preserve">(5 min) Débrief</w:t>
      </w:r>
      <w:r>
        <w:t xml:space="preserve"> — on constate : les cas connus se résolvent en minutes.</w:t>
      </w:r>
    </w:p>
    <w:p>
      <w:pPr>
        <w:pStyle w:val="Heading2"/>
      </w:pPr>
      <w:r>
        <w:t xml:space="preserve">Livrable de l’atelier</w:t>
      </w:r>
    </w:p>
    <w:p>
      <w:pPr>
        <w:pStyle w:val="ListParagraph"/>
        <w:numPr>
          <w:ilvl w:val="0"/>
          <w:numId w:val="2"/>
        </w:numPr>
        <w:spacing w:after="80"/>
      </w:pPr>
      <w:r>
        <w:t xml:space="preserve">Un playbook des 5 causes d’échec les plus fréquentes.</w:t>
      </w:r>
    </w:p>
    <w:p>
      <w:pPr>
        <w:pStyle w:val="ListParagraph"/>
        <w:numPr>
          <w:ilvl w:val="0"/>
          <w:numId w:val="2"/>
        </w:numPr>
        <w:spacing w:after="80"/>
      </w:pPr>
      <w:r>
        <w:t xml:space="preserve">Pour chaque cause : symptôme de reconnaissance + fix.</w:t>
      </w:r>
    </w:p>
    <w:p>
      <w:pPr>
        <w:pStyle w:val="ListParagraph"/>
        <w:numPr>
          <w:ilvl w:val="0"/>
          <w:numId w:val="2"/>
        </w:numPr>
        <w:spacing w:after="80"/>
      </w:pPr>
      <w:r>
        <w:t xml:space="preserve">Le playbook rendu accessible en urgence.</w:t>
      </w:r>
    </w:p>
    <w:p>
      <w:pPr>
        <w:pStyle w:val="ListParagraph"/>
        <w:numPr>
          <w:ilvl w:val="0"/>
          <w:numId w:val="2"/>
        </w:numPr>
        <w:spacing w:after="80"/>
      </w:pPr>
      <w:r>
        <w:t xml:space="preserve">Les causes récurrentes à corriger à la racine identifiées.</w:t>
      </w:r>
    </w:p>
    <w:p>
      <w:pPr>
        <w:pStyle w:val="Heading2"/>
      </w:pPr>
      <w:r>
        <w:t xml:space="preserve">Articulation S03 (ce qui suit)</w:t>
      </w:r>
    </w:p>
    <w:p>
      <w:pPr>
        <w:spacing w:after="120"/>
      </w:pPr>
      <w:r>
        <w:t xml:space="preserve">Le playbook accélère la résolution des cas connus. La suite couvre les angles restants : #194 (rôles hors heures ouvrées), #195 (revert automatique). Le playbook (#193) aide en journée comme hors heures (#194).</w:t>
      </w:r>
    </w:p>
    <w:p>
      <w:pPr>
        <w:pStyle w:val="Heading2"/>
      </w:pPr>
      <w:r>
        <w:t xml:space="preserve">Critère de réussite</w:t>
      </w:r>
    </w:p>
    <w:p>
      <w:pPr>
        <w:spacing w:after="120"/>
      </w:pPr>
      <w:r>
        <w:t xml:space="preserve">La squad a co-construit un playbook de ses causes d’échec les plus fréquentes (symptôme + fix pour chacune), accessible en urgence, qui permet de résoudre les cas connus en minutes et même à un junior de résoudre seul (diffusion). Le playbook révèle aussi les causes à corriger à la racine. La mesure Recovery time du hub baisse fortement sur les cas connus. La question S03 capitalise ses causes fréquentes, prête à couvrir les heures non ouvrées (#194).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2026-06-26T14:04:43.162Z</dcterms:created>
  <dcterms:modified xsi:type="dcterms:W3CDTF">2026-06-26T14:04:43.162Z</dcterms:modified>
</cp:coreProperties>
</file>

<file path=docProps/custom.xml><?xml version="1.0" encoding="utf-8"?>
<Properties xmlns="http://schemas.openxmlformats.org/officeDocument/2006/custom-properties" xmlns:vt="http://schemas.openxmlformats.org/officeDocument/2006/docPropsVTypes"/>
</file>