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#197 — Nos séries d’échecs dans le miroir</w:t>
      </w:r>
    </w:p>
    <w:p>
      <w:pPr>
        <w:spacing w:after="160"/>
      </w:pPr>
      <w:r>
        <w:rPr>
          <w:i/>
          <w:iCs/>
        </w:rPr>
        <w:t xml:space="preserve">Axe Stabilité — Question S04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Stabilité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(S04)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séries d’échecs consécutifs sont-elles limitées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 🔴 — Séries non vues : visualiser et comprendre les patterns</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Série max échecs — rend visibles les séries d’échecs consécutifs passées et leurs patterns (bon : max &lt; 3 ; faible : ≥ 5).</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historique des pipelines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sensibilisation : visualiser les séries d’échecs et leurs patterns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Aucun (complémentaire du quick-win #196)</w:t>
            </w:r>
          </w:p>
        </w:tc>
      </w:tr>
    </w:tbl>
    <w:p>
      <w:pPr>
        <w:pStyle w:val="Heading2"/>
      </w:pPr>
      <w:r>
        <w:t xml:space="preserve">Problématique</w:t>
      </w:r>
    </w:p>
    <w:p>
      <w:pPr>
        <w:spacing w:after="120"/>
      </w:pPr>
      <w:r>
        <w:t xml:space="preserve">La dernière question de l’axe Stabilité (S04) porte sur les séries d’échecs : quand un pipeline échoue plusieurs fois de suite. Un échec isolé est normal ; une SÉRIE d’échecs consécutifs (3, 5, plus) est un signal grave — soit on s’acharne sur un problème mal compris, soit chaque tentative de fix en casse une autre, soit on merge en boucle sur une base instable. Les séries indiquent une perte de contrôle de la stabilité. Le sujet de cet atelier est de visualiser les séries d’échecs passées de la squad et d’en comprendre les patterns : combien de séries, de quelle longueur, déclenchées par quoi ? La mesure du hub donne la série maximale (bon en dessous de 3 échecs consécutifs, problématique au-delà de 5). On prend conscience que les séries sont un signal distinct des échecs isolés, avant d’agir (#198-200).</w:t>
      </w:r>
    </w:p>
    <w:p>
      <w:pPr>
        <w:pStyle w:val="Heading2"/>
      </w:pPr>
      <w:r>
        <w:t xml:space="preserve">Pourquoi regarder les séries (réponse à porter)</w:t>
      </w:r>
    </w:p>
    <w:p>
      <w:pPr>
        <w:pStyle w:val="ListParagraph"/>
        <w:numPr>
          <w:ilvl w:val="0"/>
          <w:numId w:val="2"/>
        </w:numPr>
        <w:spacing w:after="80"/>
      </w:pPr>
      <w:r>
        <w:t xml:space="preserve">Une série n’est pas une somme d’échecs isolés, c’est un signal distinct : trois échecs sans rapport sont du bruit ; trois échecs CONSÉCUTIFS sur le même sujet indiquent un problème qu’on ne maîtrise pas — on s’acharne, ou chaque fix en casse un autre. La série révèle une perte de contrôle que les échecs isolés ne montrent pas. Elle mérite un regard propre.</w:t>
      </w:r>
    </w:p>
    <w:p>
      <w:pPr>
        <w:pStyle w:val="ListParagraph"/>
        <w:numPr>
          <w:ilvl w:val="0"/>
          <w:numId w:val="2"/>
        </w:numPr>
        <w:spacing w:after="80"/>
      </w:pPr>
      <w:r>
        <w:t xml:space="preserve">Les séries ont des patterns identifiables : une série vient souvent d’une cause précise — s’acharner sur un fix mal compris, merger en boucle sur une base rouge (d’où le #196), un problème de fond non traité. Visualiser les séries fait émerger ces patterns, pour les casser (#199).</w:t>
      </w:r>
    </w:p>
    <w:p>
      <w:pPr>
        <w:pStyle w:val="ListParagraph"/>
        <w:numPr>
          <w:ilvl w:val="0"/>
          <w:numId w:val="2"/>
        </w:numPr>
        <w:spacing w:after="80"/>
      </w:pPr>
      <w:r>
        <w:t xml:space="preserve">Une série longue est coûteuse et démoralisante : enchaîner les échecs sur un même sujet fait perdre du temps, bloque la branche, et use l’équipe. Plus tôt on casse une série, mieux c’est. Voir les séries passées motive à les prévenir (#200, alerte signal faible).</w:t>
      </w:r>
    </w:p>
    <w:p>
      <w:pPr>
        <w:pStyle w:val="ListParagraph"/>
        <w:numPr>
          <w:ilvl w:val="0"/>
          <w:numId w:val="2"/>
        </w:numPr>
        <w:spacing w:after="80"/>
      </w:pPr>
      <w:r>
        <w:t xml:space="preserve">La série max objective le risque : « on a parfois des séries » est vague ; « notre série max est de 6 échecs consécutifs » est un fait (mesure Série max échecs du hub). Le seuil (3 / 5) donne un repère : au-delà, la série signale une perte de contrôle. Le chiffre rend le problème tangible.</w:t>
      </w:r>
    </w:p>
    <w:p>
      <w:pPr>
        <w:pStyle w:val="Heading2"/>
      </w:pPr>
      <w:r>
        <w:t xml:space="preserve">Visualiser les séries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SÉRIES D'ÉCHECS — visualiser et comprendre</w:t>
            </w:r>
          </w:p>
          <w:p>
            <w:r>
              <w:rPr>
                <w:rFonts w:ascii="Consolas" w:cs="Consolas" w:eastAsia="Consolas" w:hAnsi="Consolas"/>
                <w:sz w:val="18"/>
                <w:szCs w:val="18"/>
              </w:rPr>
              <w:t xml:space="preserve"> </w:t>
            </w:r>
          </w:p>
          <w:p>
            <w:r>
              <w:rPr>
                <w:rFonts w:ascii="Consolas" w:cs="Consolas" w:eastAsia="Consolas" w:hAnsi="Consolas"/>
                <w:sz w:val="18"/>
                <w:szCs w:val="18"/>
              </w:rPr>
              <w:t xml:space="preserve">  Historique des pipelines (exemple) :</w:t>
            </w:r>
          </w:p>
          <w:p>
            <w:r>
              <w:rPr>
                <w:rFonts w:ascii="Consolas" w:cs="Consolas" w:eastAsia="Consolas" w:hAnsi="Consolas"/>
                <w:sz w:val="18"/>
                <w:szCs w:val="18"/>
              </w:rPr>
              <w:t xml:space="preserve">    ✓ ✗ ✓ ✓ ✗✗✗✗✗ ✓ ✗ ✓   &lt;- une série de 5 !</w:t>
            </w:r>
          </w:p>
          <w:p>
            <w:r>
              <w:rPr>
                <w:rFonts w:ascii="Consolas" w:cs="Consolas" w:eastAsia="Consolas" w:hAnsi="Consolas"/>
                <w:sz w:val="18"/>
                <w:szCs w:val="18"/>
              </w:rPr>
              <w:t xml:space="preserve">                  ^^^^^</w:t>
            </w:r>
          </w:p>
          <w:p>
            <w:r>
              <w:rPr>
                <w:rFonts w:ascii="Consolas" w:cs="Consolas" w:eastAsia="Consolas" w:hAnsi="Consolas"/>
                <w:sz w:val="18"/>
                <w:szCs w:val="18"/>
              </w:rPr>
              <w:t xml:space="preserve">  Mesure hub 'Série max échecs' :</w:t>
            </w:r>
          </w:p>
          <w:p>
            <w:r>
              <w:rPr>
                <w:rFonts w:ascii="Consolas" w:cs="Consolas" w:eastAsia="Consolas" w:hAnsi="Consolas"/>
                <w:sz w:val="18"/>
                <w:szCs w:val="18"/>
              </w:rPr>
              <w:t xml:space="preserve">    plus longue série consécutive (90 derniers jours)</w:t>
            </w:r>
          </w:p>
          <w:p>
            <w:r>
              <w:rPr>
                <w:rFonts w:ascii="Consolas" w:cs="Consolas" w:eastAsia="Consolas" w:hAnsi="Consolas"/>
                <w:sz w:val="18"/>
                <w:szCs w:val="18"/>
              </w:rPr>
              <w:t xml:space="preserve">    bon &lt; 3 | moyen &lt; 5 | faible &gt;= 5</w:t>
            </w:r>
          </w:p>
          <w:p>
            <w:r>
              <w:rPr>
                <w:rFonts w:ascii="Consolas" w:cs="Consolas" w:eastAsia="Consolas" w:hAnsi="Consolas"/>
                <w:sz w:val="18"/>
                <w:szCs w:val="18"/>
              </w:rPr>
              <w:t xml:space="preserve"> </w:t>
            </w:r>
          </w:p>
          <w:p>
            <w:r>
              <w:rPr>
                <w:rFonts w:ascii="Consolas" w:cs="Consolas" w:eastAsia="Consolas" w:hAnsi="Consolas"/>
                <w:sz w:val="18"/>
                <w:szCs w:val="18"/>
              </w:rPr>
              <w:t xml:space="preserve">  Pour chaque série : qu'est-ce qui l'a déclenchée ?</w:t>
            </w:r>
          </w:p>
          <w:p>
            <w:r>
              <w:rPr>
                <w:rFonts w:ascii="Consolas" w:cs="Consolas" w:eastAsia="Consolas" w:hAnsi="Consolas"/>
                <w:sz w:val="18"/>
                <w:szCs w:val="18"/>
              </w:rPr>
              <w:t xml:space="preserve">    - acharnement sur un fix mal compris ?</w:t>
            </w:r>
          </w:p>
          <w:p>
            <w:r>
              <w:rPr>
                <w:rFonts w:ascii="Consolas" w:cs="Consolas" w:eastAsia="Consolas" w:hAnsi="Consolas"/>
                <w:sz w:val="18"/>
                <w:szCs w:val="18"/>
              </w:rPr>
              <w:t xml:space="preserve">    - merges en boucle sur base rouge ? (-&gt; #196)</w:t>
            </w:r>
          </w:p>
          <w:p>
            <w:r>
              <w:rPr>
                <w:rFonts w:ascii="Consolas" w:cs="Consolas" w:eastAsia="Consolas" w:hAnsi="Consolas"/>
                <w:sz w:val="18"/>
                <w:szCs w:val="18"/>
              </w:rPr>
              <w:t xml:space="preserve">    - problème de fond non traité ?</w:t>
            </w:r>
          </w:p>
        </w:tc>
      </w:tr>
    </w:tbl>
    <w:p>
      <w:pPr>
        <w:pStyle w:val="ListParagraph"/>
        <w:numPr>
          <w:ilvl w:val="0"/>
          <w:numId w:val="2"/>
        </w:numPr>
        <w:spacing w:after="80"/>
      </w:pPr>
      <w:r>
        <w:t xml:space="preserve">Visualiser les séries passées : à partir de l’historique (mesure Série max échecs du hub), repérer les séries d’échecs consécutifs — leur nombre, leur longueur. Les séries ressortent de la suite des pipelines.</w:t>
      </w:r>
    </w:p>
    <w:p>
      <w:pPr>
        <w:pStyle w:val="ListParagraph"/>
        <w:numPr>
          <w:ilvl w:val="0"/>
          <w:numId w:val="2"/>
        </w:numPr>
        <w:spacing w:after="80"/>
      </w:pPr>
      <w:r>
        <w:t xml:space="preserve">Situer par rapport aux seuils : comparer la série max aux seuils (3 / 5). Au-delà de 5, c’est une perte de contrôle nette.</w:t>
      </w:r>
    </w:p>
    <w:p>
      <w:pPr>
        <w:pStyle w:val="ListParagraph"/>
        <w:numPr>
          <w:ilvl w:val="0"/>
          <w:numId w:val="2"/>
        </w:numPr>
        <w:spacing w:after="80"/>
      </w:pPr>
      <w:r>
        <w:t xml:space="preserve">Chercher le déclencheur de chaque série : pour les séries notables, comprendre ce qui les a provoquées — acharnement, merges sur rouge, problème de fond. Les patterns émergent.</w:t>
      </w:r>
    </w:p>
    <w:p>
      <w:pPr>
        <w:pStyle w:val="ListParagraph"/>
        <w:numPr>
          <w:ilvl w:val="0"/>
          <w:numId w:val="2"/>
        </w:numPr>
        <w:spacing w:after="80"/>
      </w:pPr>
      <w:r>
        <w:t xml:space="preserve">Relier au quick-win #196 : noter que beaucoup de séries viennent de merges sur base rouge — ce que « Pipelines must succeed » (#196) bloque. Le levier technique est déjà identifié.</w:t>
      </w:r>
    </w:p>
    <w:p>
      <w:pPr>
        <w:pStyle w:val="Heading2"/>
      </w:pPr>
      <w:r>
        <w:t xml:space="preserve">Objectif de l’atelier</w:t>
      </w:r>
    </w:p>
    <w:p>
      <w:pPr>
        <w:spacing w:after="120"/>
      </w:pPr>
      <w:r>
        <w:t xml:space="preserve">À la sortie, la squad a visualisé ses séries d’échecs consécutifs passées — leur nombre, leur longueur, situées par rapport aux seuils du hub (3 / 5) — et commencé à en comprendre les patterns (acharnement sur un fix mal compris, merges en boucle sur base rouge, problème de fond non traité). Elle a pris conscience qu’une série est un signal distinct d’une perte de contrôle, différent des échecs isolés, et coûteux. Le lien avec le quick-win #196 (bloquer les merges sur rouge) est établi. La squad veut limiter ses séries (#198-200). La mesure Série max échecs du hub a sa baseline.</w:t>
      </w:r>
    </w:p>
    <w:p>
      <w:pPr>
        <w:pStyle w:val="Heading2"/>
      </w:pPr>
      <w:r>
        <w:t xml:space="preserve">Board Klaxoon</w:t>
      </w:r>
    </w:p>
    <w:p>
      <w:pPr>
        <w:spacing w:after="120"/>
      </w:pPr>
      <w:r>
        <w:rPr>
          <w:b w:val="false"/>
          <w:bCs w:val="false"/>
        </w:rPr>
        <w:t xml:space="preserve">Template recommandé : Nos séries d’échecs.</w:t>
      </w:r>
    </w:p>
    <w:p>
      <w:pPr>
        <w:pStyle w:val="ListParagraph"/>
        <w:numPr>
          <w:ilvl w:val="0"/>
          <w:numId w:val="2"/>
        </w:numPr>
        <w:spacing w:after="80"/>
      </w:pPr>
      <w:r>
        <w:t xml:space="preserve">Zone « Nos séries » — les séries passées, leur longueur (hub).</w:t>
      </w:r>
    </w:p>
    <w:p>
      <w:pPr>
        <w:pStyle w:val="ListParagraph"/>
        <w:numPr>
          <w:ilvl w:val="0"/>
          <w:numId w:val="2"/>
        </w:numPr>
        <w:spacing w:after="80"/>
      </w:pPr>
      <w:r>
        <w:t xml:space="preserve">Zone « Série max vs seuils » — situé par rapport à 3 / 5.</w:t>
      </w:r>
    </w:p>
    <w:p>
      <w:pPr>
        <w:pStyle w:val="ListParagraph"/>
        <w:numPr>
          <w:ilvl w:val="0"/>
          <w:numId w:val="2"/>
        </w:numPr>
        <w:spacing w:after="80"/>
      </w:pPr>
      <w:r>
        <w:t xml:space="preserve">Zone « Déclencheurs » — acharnement, merges sur rouge, problème de fond.</w:t>
      </w:r>
    </w:p>
    <w:p>
      <w:pPr>
        <w:pStyle w:val="ListParagraph"/>
        <w:numPr>
          <w:ilvl w:val="0"/>
          <w:numId w:val="2"/>
        </w:numPr>
        <w:spacing w:after="80"/>
      </w:pPr>
      <w:r>
        <w:t xml:space="preserve">Zone « Lien #196 » — beaucoup de séries viennent des merges sur rouge.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S04 : une série d’échecs est un signal distinct d’un échec isolé.</w:t>
      </w:r>
    </w:p>
    <w:p>
      <w:pPr>
        <w:pStyle w:val="ListParagraph"/>
        <w:numPr>
          <w:ilvl w:val="0"/>
          <w:numId w:val="2"/>
        </w:numPr>
        <w:spacing w:after="80"/>
      </w:pPr>
      <w:r>
        <w:rPr>
          <w:b/>
          <w:bCs/>
        </w:rPr>
        <w:t xml:space="preserve">(15 min) Visualiser les séries</w:t>
      </w:r>
      <w:r>
        <w:t xml:space="preserve"> — repérer les séries passées et leur longueur (hub).</w:t>
      </w:r>
    </w:p>
    <w:p>
      <w:pPr>
        <w:pStyle w:val="ListParagraph"/>
        <w:numPr>
          <w:ilvl w:val="0"/>
          <w:numId w:val="2"/>
        </w:numPr>
        <w:spacing w:after="80"/>
      </w:pPr>
      <w:r>
        <w:rPr>
          <w:b/>
          <w:bCs/>
        </w:rPr>
        <w:t xml:space="preserve">(12 min) Chercher les déclencheurs</w:t>
      </w:r>
      <w:r>
        <w:t xml:space="preserve"> — ce qui a provoqué chaque série notable.</w:t>
      </w:r>
    </w:p>
    <w:p>
      <w:pPr>
        <w:pStyle w:val="ListParagraph"/>
        <w:numPr>
          <w:ilvl w:val="0"/>
          <w:numId w:val="2"/>
        </w:numPr>
        <w:spacing w:after="80"/>
      </w:pPr>
      <w:r>
        <w:rPr>
          <w:b/>
          <w:bCs/>
        </w:rPr>
        <w:t xml:space="preserve">(8 min) Relier au #196 et au risque</w:t>
      </w:r>
      <w:r>
        <w:t xml:space="preserve"> — merges sur rouge, coût des séries longues.</w:t>
      </w:r>
    </w:p>
    <w:p>
      <w:pPr>
        <w:pStyle w:val="ListParagraph"/>
        <w:numPr>
          <w:ilvl w:val="0"/>
          <w:numId w:val="2"/>
        </w:numPr>
        <w:spacing w:after="80"/>
      </w:pPr>
      <w:r>
        <w:rPr>
          <w:b/>
          <w:bCs/>
        </w:rPr>
        <w:t xml:space="preserve">(5 min) Débrief</w:t>
      </w:r>
      <w:r>
        <w:t xml:space="preserve"> — on constate : les séries sont un signal à casser, place à l’action (#198).</w:t>
      </w:r>
    </w:p>
    <w:p>
      <w:pPr>
        <w:pStyle w:val="Heading2"/>
      </w:pPr>
      <w:r>
        <w:t xml:space="preserve">Livrable de l’atelier</w:t>
      </w:r>
    </w:p>
    <w:p>
      <w:pPr>
        <w:pStyle w:val="ListParagraph"/>
        <w:numPr>
          <w:ilvl w:val="0"/>
          <w:numId w:val="2"/>
        </w:numPr>
        <w:spacing w:after="80"/>
      </w:pPr>
      <w:r>
        <w:t xml:space="preserve">La visualisation des séries d’échecs passées.</w:t>
      </w:r>
    </w:p>
    <w:p>
      <w:pPr>
        <w:pStyle w:val="ListParagraph"/>
        <w:numPr>
          <w:ilvl w:val="0"/>
          <w:numId w:val="2"/>
        </w:numPr>
        <w:spacing w:after="80"/>
      </w:pPr>
      <w:r>
        <w:t xml:space="preserve">La série max située par rapport aux seuils du hub.</w:t>
      </w:r>
    </w:p>
    <w:p>
      <w:pPr>
        <w:pStyle w:val="ListParagraph"/>
        <w:numPr>
          <w:ilvl w:val="0"/>
          <w:numId w:val="2"/>
        </w:numPr>
        <w:spacing w:after="80"/>
      </w:pPr>
      <w:r>
        <w:t xml:space="preserve">Les déclencheurs des séries notables identifiés.</w:t>
      </w:r>
    </w:p>
    <w:p>
      <w:pPr>
        <w:pStyle w:val="ListParagraph"/>
        <w:numPr>
          <w:ilvl w:val="0"/>
          <w:numId w:val="2"/>
        </w:numPr>
        <w:spacing w:after="80"/>
      </w:pPr>
      <w:r>
        <w:t xml:space="preserve">Le lien établi avec le quick-win #196.</w:t>
      </w:r>
    </w:p>
    <w:p>
      <w:pPr>
        <w:pStyle w:val="Heading2"/>
      </w:pPr>
      <w:r>
        <w:t xml:space="preserve">Articulation S04 (ce qui suit)</w:t>
      </w:r>
    </w:p>
    <w:p>
      <w:pPr>
        <w:spacing w:after="120"/>
      </w:pPr>
      <w:r>
        <w:t xml:space="preserve">Cette prise de conscience ouvre S04. La suite limite les séries : #198 (check pre-merge — refuser un merge si la branche est rouge), #199 (analyser les séries — même cause ou causes différentes), #200 (alerte signal faible — intervenir dès une série de 2). Le quick-win #196 et la visualisation d’aujourd’hui amorcent la maîtrise des séries.</w:t>
      </w:r>
    </w:p>
    <w:p>
      <w:pPr>
        <w:pStyle w:val="Heading2"/>
      </w:pPr>
      <w:r>
        <w:t xml:space="preserve">Critère de réussite</w:t>
      </w:r>
    </w:p>
    <w:p>
      <w:pPr>
        <w:spacing w:after="120"/>
      </w:pPr>
      <w:r>
        <w:t xml:space="preserve">La squad a visualisé ses séries d’échecs consécutifs, les a situées par rapport aux seuils du hub, et commencé à en comprendre les patterns (acharnement, merges sur rouge, problème de fond), en prenant conscience qu’une série est un signal distinct de perte de contrôle. Le lien avec le quick-win #196 est établi. La mesure Série max échecs du hub a sa baseline. La question S04 pose sa sensibilisation, prête à limiter les séries (#198).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2026-06-26T14:04:43.463Z</dcterms:created>
  <dcterms:modified xsi:type="dcterms:W3CDTF">2026-06-26T14:04:43.463Z</dcterms:modified>
</cp:coreProperties>
</file>

<file path=docProps/custom.xml><?xml version="1.0" encoding="utf-8"?>
<Properties xmlns="http://schemas.openxmlformats.org/officeDocument/2006/custom-properties" xmlns:vt="http://schemas.openxmlformats.org/officeDocument/2006/docPropsVTypes"/>
</file>