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#198 — Check pre-merge : refuser le merge si la branche est rouge</w:t>
      </w:r>
    </w:p>
    <w:p>
      <w:pPr>
        <w:spacing w:after="160"/>
      </w:pPr>
      <w:r>
        <w:rPr>
          <w:i/>
          <w:iCs/>
        </w:rPr>
        <w:t xml:space="preserve">Axe Stabilité — Question S04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séries d’échecs consécutifs sont-elles limitées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Séries vues : bloquer le merge sur branche rouge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Série max échecs — empêche un merge tant que la branche cible est rouge, cassant les séries dues aux merges en boucle.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un Maintainer,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configurer le pipeline pour refuser un merge si la branche cible est rouge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Quick-win #196, conscience des séries (#197)</w:t>
            </w:r>
          </w:p>
        </w:tc>
      </w:tr>
    </w:tbl>
    <w:p>
      <w:pPr>
        <w:pStyle w:val="Heading2"/>
      </w:pPr>
      <w:r>
        <w:t xml:space="preserve">Problématique</w:t>
      </w:r>
    </w:p>
    <w:p>
      <w:pPr>
        <w:spacing w:after="120"/>
      </w:pPr>
      <w:r>
        <w:t xml:space="preserve">Le quick-win #196 (« Pipelines must succeed ») empêche de merger une MR dont le PROPRE pipeline est rouge. Mais il reste un cas : la branche CIBLE (main) peut être rouge alors que le pipeline de la MR est vert — et merger dessus ajoute du code à une base déjà cassée, alimentant une série. Le sujet de cet atelier est de configurer un check pre-merge complémentaire : refuser un merge si la branche cible est elle-même en état rouge. Ainsi, on ne construit jamais sur une base cassée — ni via une MR rouge (#196), ni vers une branche rouge (#198). C’est le complément qui ferme la dernière porte d’entrée des séries dues aux merges en boucle sur de l’instable. On garantit qu’on ne merge que vers du vert.</w:t>
      </w:r>
    </w:p>
    <w:p>
      <w:pPr>
        <w:pStyle w:val="Heading2"/>
      </w:pPr>
      <w:r>
        <w:t xml:space="preserve">Pourquoi bloquer le merge vers une branche rouge (réponse à porter)</w:t>
      </w:r>
    </w:p>
    <w:p>
      <w:pPr>
        <w:pStyle w:val="ListParagraph"/>
        <w:numPr>
          <w:ilvl w:val="0"/>
          <w:numId w:val="2"/>
        </w:numPr>
        <w:spacing w:after="80"/>
      </w:pPr>
      <w:r>
        <w:t xml:space="preserve">Merger vers une branche rouge alimente la série : si main est déjà rouge et qu’on merge dessus (même une MR verte), on ajoute du code à une base cassée — on prolonge la série au lieu de la casser. Bloquer ce merge empêche d’aggraver. C’est le complément du #196 : l’un vérifie la MR, l’autre la cible.</w:t>
      </w:r>
    </w:p>
    <w:p>
      <w:pPr>
        <w:pStyle w:val="ListParagraph"/>
        <w:numPr>
          <w:ilvl w:val="0"/>
          <w:numId w:val="2"/>
        </w:numPr>
        <w:spacing w:after="80"/>
      </w:pPr>
      <w:r>
        <w:t xml:space="preserve">On ne construit que sur du vert : le principe est qu’aucun merge ne se fait sur une base instable, dans les deux sens — la MR doit être verte (#196) ET la branche cible doit être verte (#198). Ensemble, ils garantissent qu’on construit toujours sur du sain. C’est la règle complète du stop-the-line appliquée au merge.</w:t>
      </w:r>
    </w:p>
    <w:p>
      <w:pPr>
        <w:pStyle w:val="ListParagraph"/>
        <w:numPr>
          <w:ilvl w:val="0"/>
          <w:numId w:val="2"/>
        </w:numPr>
        <w:spacing w:after="80"/>
      </w:pPr>
      <w:r>
        <w:t xml:space="preserve">Cela force à réparer la branche avant de continuer : si on ne peut pas merger tant que main est rouge, la réparation de main devient prioritaire (cohérent avec le stop-the-line S01-180). Le check pre-merge renforce la priorité au rouge : on répare avant d’avancer.</w:t>
      </w:r>
    </w:p>
    <w:p>
      <w:pPr>
        <w:pStyle w:val="ListParagraph"/>
        <w:numPr>
          <w:ilvl w:val="0"/>
          <w:numId w:val="2"/>
        </w:numPr>
        <w:spacing w:after="80"/>
      </w:pPr>
      <w:r>
        <w:t xml:space="preserve">C’est un garde-fou déterministe, pas un jugement : le check vérifie mécaniquement l’état de la branche cible (verte ou rouge) et bloque si rouge. Pas d’interprétation — une règle simple et prévisible. L’outil applique la règle, l’humain répare. Doctrine du corpus.</w:t>
      </w:r>
    </w:p>
    <w:p>
      <w:pPr>
        <w:pStyle w:val="Heading2"/>
      </w:pPr>
      <w:r>
        <w:t xml:space="preserve">Configurer le check (leviers concrets)</w:t>
      </w:r>
    </w:p>
    <w:p>
      <w:pPr>
        <w:pStyle w:val="ListParagraph"/>
        <w:numPr>
          <w:ilvl w:val="0"/>
          <w:numId w:val="2"/>
        </w:numPr>
        <w:spacing w:after="80"/>
      </w:pPr>
      <w:r>
        <w:t xml:space="preserve">Configurer la vérification de l’état de la branche cible : faire en sorte que le merge soit refusé si la branche cible (main) est en état rouge. Selon l’outillage GitLab, via une règle de protection, un check de pipeline, ou une vérification dans le pipeline de merge.</w:t>
      </w:r>
    </w:p>
    <w:p>
      <w:pPr>
        <w:pStyle w:val="ListParagraph"/>
        <w:numPr>
          <w:ilvl w:val="0"/>
          <w:numId w:val="2"/>
        </w:numPr>
        <w:spacing w:after="80"/>
      </w:pPr>
      <w:r>
        <w:t xml:space="preserve">Combiner avec le #196 : « Pipelines must succeed » (#196) couvre la MR ; ce check couvre la branche cible. Vérifier que les deux sont actifs pour fermer les deux portes.</w:t>
      </w:r>
    </w:p>
    <w:p>
      <w:pPr>
        <w:pStyle w:val="ListParagraph"/>
        <w:numPr>
          <w:ilvl w:val="0"/>
          <w:numId w:val="2"/>
        </w:numPr>
        <w:spacing w:after="80"/>
      </w:pPr>
      <w:r>
        <w:t xml:space="preserve">Rendre le refus clair : quand un merge est bloqué parce que la branche est rouge, le message doit l’expliquer (« merge bloqué : main est rouge, réparez d’abord »). Un refus compris oriente vers la réparation.</w:t>
      </w:r>
    </w:p>
    <w:p>
      <w:pPr>
        <w:pStyle w:val="ListParagraph"/>
        <w:numPr>
          <w:ilvl w:val="0"/>
          <w:numId w:val="2"/>
        </w:numPr>
        <w:spacing w:after="80"/>
      </w:pPr>
      <w:r>
        <w:t xml:space="preserve">Vérifier le comportement : tenter de merger vers une branche rouge et constater le refus. La preuve que la porte est fermée.</w:t>
      </w:r>
    </w:p>
    <w:p>
      <w:pPr>
        <w:pStyle w:val="Heading2"/>
      </w:pPr>
      <w:r>
        <w:t xml:space="preserve">Objectif de l’atelier</w:t>
      </w:r>
    </w:p>
    <w:p>
      <w:pPr>
        <w:spacing w:after="120"/>
      </w:pPr>
      <w:r>
        <w:t xml:space="preserve">À la sortie, la squad a configuré un check pre-merge qui refuse un merge si la branche cible est elle-même en état rouge, en complément du quick-win #196 (qui couvre le pipeline de la MR). Désormais, on ne merge jamais sur une base cassée — ni via une MR rouge, ni vers une branche rouge — ce qui ferme la dernière porte d’entrée des séries dues aux merges en boucle sur de l’instable. Le check force à réparer la branche avant de continuer (cohérent avec le stop-the-line), avec un message de refus clair. C’est un garde-fou déterministe. La mesure Série max échecs du hub baisse parce qu’on ne construit que sur du vert.</w:t>
      </w:r>
    </w:p>
    <w:p>
      <w:pPr>
        <w:pStyle w:val="Heading2"/>
      </w:pPr>
      <w:r>
        <w:t xml:space="preserve">Board Klaxoon</w:t>
      </w:r>
    </w:p>
    <w:p>
      <w:pPr>
        <w:spacing w:after="120"/>
      </w:pPr>
      <w:r>
        <w:rPr>
          <w:b w:val="false"/>
          <w:bCs w:val="false"/>
        </w:rPr>
        <w:t xml:space="preserve">Template recommandé : Check pre-merge.</w:t>
      </w:r>
    </w:p>
    <w:p>
      <w:pPr>
        <w:pStyle w:val="ListParagraph"/>
        <w:numPr>
          <w:ilvl w:val="0"/>
          <w:numId w:val="2"/>
        </w:numPr>
        <w:spacing w:after="80"/>
      </w:pPr>
      <w:r>
        <w:t xml:space="preserve">Zone « La branche cible » — vérifier qu’elle n’est pas rouge avant de merger.</w:t>
      </w:r>
    </w:p>
    <w:p>
      <w:pPr>
        <w:pStyle w:val="ListParagraph"/>
        <w:numPr>
          <w:ilvl w:val="0"/>
          <w:numId w:val="2"/>
        </w:numPr>
        <w:spacing w:after="80"/>
      </w:pPr>
      <w:r>
        <w:t xml:space="preserve">Zone « Complément du #196 » — MR verte ET branche cible verte.</w:t>
      </w:r>
    </w:p>
    <w:p>
      <w:pPr>
        <w:pStyle w:val="ListParagraph"/>
        <w:numPr>
          <w:ilvl w:val="0"/>
          <w:numId w:val="2"/>
        </w:numPr>
        <w:spacing w:after="80"/>
      </w:pPr>
      <w:r>
        <w:t xml:space="preserve">Zone « Message clair » — refus expliqué, orientant vers la réparation.</w:t>
      </w:r>
    </w:p>
    <w:p>
      <w:pPr>
        <w:pStyle w:val="ListParagraph"/>
        <w:numPr>
          <w:ilvl w:val="0"/>
          <w:numId w:val="2"/>
        </w:numPr>
        <w:spacing w:after="80"/>
      </w:pPr>
      <w:r>
        <w:t xml:space="preserve">Zone « Vérifié » — merge vers branche rouge refusé.</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cas restant : merger une MR verte vers une main rouge.</w:t>
      </w:r>
    </w:p>
    <w:p>
      <w:pPr>
        <w:pStyle w:val="ListParagraph"/>
        <w:numPr>
          <w:ilvl w:val="0"/>
          <w:numId w:val="2"/>
        </w:numPr>
        <w:spacing w:after="80"/>
      </w:pPr>
      <w:r>
        <w:rPr>
          <w:b/>
          <w:bCs/>
        </w:rPr>
        <w:t xml:space="preserve">(15 min) Configurer le check</w:t>
      </w:r>
      <w:r>
        <w:t xml:space="preserve"> — refuser le merge si la branche cible est rouge.</w:t>
      </w:r>
    </w:p>
    <w:p>
      <w:pPr>
        <w:pStyle w:val="ListParagraph"/>
        <w:numPr>
          <w:ilvl w:val="0"/>
          <w:numId w:val="2"/>
        </w:numPr>
        <w:spacing w:after="80"/>
      </w:pPr>
      <w:r>
        <w:rPr>
          <w:b/>
          <w:bCs/>
        </w:rPr>
        <w:t xml:space="preserve">(10 min) Combiner avec #196</w:t>
      </w:r>
      <w:r>
        <w:t xml:space="preserve"> — vérifier que MR et branche cible sont toutes deux couvertes.</w:t>
      </w:r>
    </w:p>
    <w:p>
      <w:pPr>
        <w:pStyle w:val="ListParagraph"/>
        <w:numPr>
          <w:ilvl w:val="0"/>
          <w:numId w:val="2"/>
        </w:numPr>
        <w:spacing w:after="80"/>
      </w:pPr>
      <w:r>
        <w:rPr>
          <w:b/>
          <w:bCs/>
        </w:rPr>
        <w:t xml:space="preserve">(8 min) Soigner le message et vérifier</w:t>
      </w:r>
      <w:r>
        <w:t xml:space="preserve"> — refus clair, et test d’un merge vers branche rouge.</w:t>
      </w:r>
    </w:p>
    <w:p>
      <w:pPr>
        <w:pStyle w:val="ListParagraph"/>
        <w:numPr>
          <w:ilvl w:val="0"/>
          <w:numId w:val="2"/>
        </w:numPr>
        <w:spacing w:after="80"/>
      </w:pPr>
      <w:r>
        <w:rPr>
          <w:b/>
          <w:bCs/>
        </w:rPr>
        <w:t xml:space="preserve">(5 min) Débrief</w:t>
      </w:r>
      <w:r>
        <w:t xml:space="preserve"> — on constate : on ne merge que vers du vert, les séries sont cassées.</w:t>
      </w:r>
    </w:p>
    <w:p>
      <w:pPr>
        <w:pStyle w:val="Heading2"/>
      </w:pPr>
      <w:r>
        <w:t xml:space="preserve">Livrable de l’atelier</w:t>
      </w:r>
    </w:p>
    <w:p>
      <w:pPr>
        <w:pStyle w:val="ListParagraph"/>
        <w:numPr>
          <w:ilvl w:val="0"/>
          <w:numId w:val="2"/>
        </w:numPr>
        <w:spacing w:after="80"/>
      </w:pPr>
      <w:r>
        <w:t xml:space="preserve">Un check pre-merge refusant le merge vers une branche cible rouge.</w:t>
      </w:r>
    </w:p>
    <w:p>
      <w:pPr>
        <w:pStyle w:val="ListParagraph"/>
        <w:numPr>
          <w:ilvl w:val="0"/>
          <w:numId w:val="2"/>
        </w:numPr>
        <w:spacing w:after="80"/>
      </w:pPr>
      <w:r>
        <w:t xml:space="preserve">La combinaison avec le #196 (MR + branche cible).</w:t>
      </w:r>
    </w:p>
    <w:p>
      <w:pPr>
        <w:pStyle w:val="ListParagraph"/>
        <w:numPr>
          <w:ilvl w:val="0"/>
          <w:numId w:val="2"/>
        </w:numPr>
        <w:spacing w:after="80"/>
      </w:pPr>
      <w:r>
        <w:t xml:space="preserve">Un message de refus clair orientant vers la réparation.</w:t>
      </w:r>
    </w:p>
    <w:p>
      <w:pPr>
        <w:pStyle w:val="ListParagraph"/>
        <w:numPr>
          <w:ilvl w:val="0"/>
          <w:numId w:val="2"/>
        </w:numPr>
        <w:spacing w:after="80"/>
      </w:pPr>
      <w:r>
        <w:t xml:space="preserve">La vérification que le merge vers une branche rouge est refusé.</w:t>
      </w:r>
    </w:p>
    <w:p>
      <w:pPr>
        <w:pStyle w:val="Heading2"/>
      </w:pPr>
      <w:r>
        <w:t xml:space="preserve">Articulation S04 (ce qui suit)</w:t>
      </w:r>
    </w:p>
    <w:p>
      <w:pPr>
        <w:spacing w:after="120"/>
      </w:pPr>
      <w:r>
        <w:t xml:space="preserve">Le check pre-merge ferme la dernière porte des séries par merge. La suite analyse et prévient : #199 (analyser les séries — même cause ou causes différentes), #200 (alerte signal faible — intervenir dès une série de 2). Après avoir bloqué les merges sur rouge (#196, #198), on comprend (#199) et on prévient (#200) les séries restantes.</w:t>
      </w:r>
    </w:p>
    <w:p>
      <w:pPr>
        <w:pStyle w:val="Heading2"/>
      </w:pPr>
      <w:r>
        <w:t xml:space="preserve">Critère de réussite</w:t>
      </w:r>
    </w:p>
    <w:p>
      <w:pPr>
        <w:spacing w:after="120"/>
      </w:pPr>
      <w:r>
        <w:t xml:space="preserve">La squad a configuré un check pre-merge refusant le merge si la branche cible est rouge, en complément du #196 : on ne merge jamais sur une base cassée, ce qui ferme la dernière porte des séries par merge en boucle. Le check force à réparer la branche avant de continuer, avec un message clair, en garde-fou déterministe. La mesure Série max échecs du hub baisse. La question S04 ferme ses merges sur rouge, prête à analyser les séries restantes (#199).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2026-06-26T14:04:43.476Z</dcterms:created>
  <dcterms:modified xsi:type="dcterms:W3CDTF">2026-06-26T14:04:43.476Z</dcterms:modified>
</cp:coreProperties>
</file>

<file path=docProps/custom.xml><?xml version="1.0" encoding="utf-8"?>
<Properties xmlns="http://schemas.openxmlformats.org/officeDocument/2006/custom-properties" xmlns:vt="http://schemas.openxmlformats.org/officeDocument/2006/docPropsVTypes"/>
</file>