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#199 — Analyser les séries : même cause ou causes différentes ?</w:t>
      </w:r>
    </w:p>
    <w:p>
      <w:pPr>
        <w:spacing w:after="160"/>
      </w:pPr>
      <w:r>
        <w:rPr>
          <w:i/>
          <w:iCs/>
        </w:rPr>
        <w:t xml:space="preserve">Axe Stabilité — Question S04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séries d’échecs consécutifs sont-elles limitées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Merges sur rouge bloqués : comprendre les séries restantes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Série max échecs — distingue les séries à cause unique (acharnement) des séries à causes multiples (instabilité de fond) pour traiter la bonne racine.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historique des séries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d’analyse : comprendre ce qui déclenche les séries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Merges sur rouge bloqués (#196, #198)</w:t>
            </w:r>
          </w:p>
        </w:tc>
      </w:tr>
    </w:tbl>
    <w:p>
      <w:pPr>
        <w:pStyle w:val="Heading2"/>
      </w:pPr>
      <w:r>
        <w:t xml:space="preserve">Problématique</w:t>
      </w:r>
    </w:p>
    <w:p>
      <w:pPr>
        <w:spacing w:after="120"/>
      </w:pPr>
      <w:r>
        <w:t xml:space="preserve">Les merges sur rouge sont bloqués (#196, #198), ce qui élimine une grande cause de séries. Mais il reste des séries dues à d’autres mécanismes, et pour les traiter, il faut les comprendre. Une distinction clé : une série est-elle due à UNE MÊME cause (on s’acharne sur un problème qu’on ne résout pas — chaque tentative échoue sur le même obstacle) ou à des CAUSES DIFFÉRENTES (chaque fix en casse une autre — on joue aux dominos) ? Ces deux types de séries appellent des réponses opposées. Le sujet de cet atelier est d’analyser les séries de la squad pour distinguer ces deux patterns et traiter la bonne racine. On comprend le mécanisme des séries restantes pour les casser efficacement, plutôt que de s’y enliser.</w:t>
      </w:r>
    </w:p>
    <w:p>
      <w:pPr>
        <w:pStyle w:val="Heading2"/>
      </w:pPr>
      <w:r>
        <w:t xml:space="preserve">Pourquoi distinguer les types de séries (réponse à porter)</w:t>
      </w:r>
    </w:p>
    <w:p>
      <w:pPr>
        <w:pStyle w:val="ListParagraph"/>
        <w:numPr>
          <w:ilvl w:val="0"/>
          <w:numId w:val="2"/>
        </w:numPr>
        <w:spacing w:after="80"/>
      </w:pPr>
      <w:r>
        <w:t xml:space="preserve">Série à cause unique = acharnement : si tous les échecs de la série ont la même cause, c’est qu’on s’acharne sur un problème mal compris — on retente sans avoir résolu l’obstacle de fond. La réponse : arrêter de retenter à l’aveugle, prendre du recul, diagnostiquer vraiment (lien logs #192, playbook #193), ou revert pour casser la série (#191). On sort de l’acharnement par la compréhension.</w:t>
      </w:r>
    </w:p>
    <w:p>
      <w:pPr>
        <w:pStyle w:val="ListParagraph"/>
        <w:numPr>
          <w:ilvl w:val="0"/>
          <w:numId w:val="2"/>
        </w:numPr>
        <w:spacing w:after="80"/>
      </w:pPr>
      <w:r>
        <w:t xml:space="preserve">Série à causes différentes = effet domino : si chaque échec a une cause différente, c’est que chaque fix en casse un autre — signe d’un code fragile, de dépendances mal maîtrisées, d’un manque de tests. La réponse : traiter la fragilité de fond (renforcer les tests, isoler les dépendances), pas les symptômes un par un. On stabilise la base.</w:t>
      </w:r>
    </w:p>
    <w:p>
      <w:pPr>
        <w:pStyle w:val="ListParagraph"/>
        <w:numPr>
          <w:ilvl w:val="0"/>
          <w:numId w:val="2"/>
        </w:numPr>
        <w:spacing w:after="80"/>
      </w:pPr>
      <w:r>
        <w:t xml:space="preserve">Confondre les deux mène à la mauvaise réponse : traiter un acharnement comme un effet domino (ou l’inverse) ne marche pas. Distinguer le type de série oriente vers la bonne action. L’analyse évite de s’épuiser sur la mauvaise piste.</w:t>
      </w:r>
    </w:p>
    <w:p>
      <w:pPr>
        <w:pStyle w:val="ListParagraph"/>
        <w:numPr>
          <w:ilvl w:val="0"/>
          <w:numId w:val="2"/>
        </w:numPr>
        <w:spacing w:after="80"/>
      </w:pPr>
      <w:r>
        <w:t xml:space="preserve">Comprendre les séries permet de les prévenir : une fois les mécanismes compris (acharnement, domino), on peut mettre en place des garde-fous — un seuil d’alerte pour stopper l’acharnement tôt (#200), un renforcement des tests contre le domino. L’analyse débouche sur la prévention.</w:t>
      </w:r>
    </w:p>
    <w:p>
      <w:pPr>
        <w:pStyle w:val="Heading2"/>
      </w:pPr>
      <w:r>
        <w:t xml:space="preserve">Analyser les séries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ANALYSER UNE SÉRIE — même cause ou causes différentes ?</w:t>
            </w:r>
          </w:p>
          <w:p>
            <w:r>
              <w:rPr>
                <w:rFonts w:ascii="Consolas" w:cs="Consolas" w:eastAsia="Consolas" w:hAnsi="Consolas"/>
                <w:sz w:val="18"/>
                <w:szCs w:val="18"/>
              </w:rPr>
              <w:t xml:space="preserve"> </w:t>
            </w:r>
          </w:p>
          <w:p>
            <w:r>
              <w:rPr>
                <w:rFonts w:ascii="Consolas" w:cs="Consolas" w:eastAsia="Consolas" w:hAnsi="Consolas"/>
                <w:sz w:val="18"/>
                <w:szCs w:val="18"/>
              </w:rPr>
              <w:t xml:space="preserve">  Série de 5 échecs -&gt; regarder la cause de chacun :</w:t>
            </w:r>
          </w:p>
          <w:p>
            <w:r>
              <w:rPr>
                <w:rFonts w:ascii="Consolas" w:cs="Consolas" w:eastAsia="Consolas" w:hAnsi="Consolas"/>
                <w:sz w:val="18"/>
                <w:szCs w:val="18"/>
              </w:rPr>
              <w:t xml:space="preserve"> </w:t>
            </w:r>
          </w:p>
          <w:p>
            <w:r>
              <w:rPr>
                <w:rFonts w:ascii="Consolas" w:cs="Consolas" w:eastAsia="Consolas" w:hAnsi="Consolas"/>
                <w:sz w:val="18"/>
                <w:szCs w:val="18"/>
              </w:rPr>
              <w:t xml:space="preserve">  CAS A (même cause) :  ✗✗✗✗✗ tous = 'test X échoue'</w:t>
            </w:r>
          </w:p>
          <w:p>
            <w:r>
              <w:rPr>
                <w:rFonts w:ascii="Consolas" w:cs="Consolas" w:eastAsia="Consolas" w:hAnsi="Consolas"/>
                <w:sz w:val="18"/>
                <w:szCs w:val="18"/>
              </w:rPr>
              <w:t xml:space="preserve">    -&gt; ACHARNEMENT sur un problème mal compris</w:t>
            </w:r>
          </w:p>
          <w:p>
            <w:r>
              <w:rPr>
                <w:rFonts w:ascii="Consolas" w:cs="Consolas" w:eastAsia="Consolas" w:hAnsi="Consolas"/>
                <w:sz w:val="18"/>
                <w:szCs w:val="18"/>
              </w:rPr>
              <w:t xml:space="preserve">    -&gt; stop, diagnostiquer vraiment / revert (#191-193)</w:t>
            </w:r>
          </w:p>
          <w:p>
            <w:r>
              <w:rPr>
                <w:rFonts w:ascii="Consolas" w:cs="Consolas" w:eastAsia="Consolas" w:hAnsi="Consolas"/>
                <w:sz w:val="18"/>
                <w:szCs w:val="18"/>
              </w:rPr>
              <w:t xml:space="preserve"> </w:t>
            </w:r>
          </w:p>
          <w:p>
            <w:r>
              <w:rPr>
                <w:rFonts w:ascii="Consolas" w:cs="Consolas" w:eastAsia="Consolas" w:hAnsi="Consolas"/>
                <w:sz w:val="18"/>
                <w:szCs w:val="18"/>
              </w:rPr>
              <w:t xml:space="preserve">  CAS B (causes différentes) : ✗(test)✗(dépendance)</w:t>
            </w:r>
          </w:p>
          <w:p>
            <w:r>
              <w:rPr>
                <w:rFonts w:ascii="Consolas" w:cs="Consolas" w:eastAsia="Consolas" w:hAnsi="Consolas"/>
                <w:sz w:val="18"/>
                <w:szCs w:val="18"/>
              </w:rPr>
              <w:t xml:space="preserve">    ✗(config)✗(migration)✗(timeout)</w:t>
            </w:r>
          </w:p>
          <w:p>
            <w:r>
              <w:rPr>
                <w:rFonts w:ascii="Consolas" w:cs="Consolas" w:eastAsia="Consolas" w:hAnsi="Consolas"/>
                <w:sz w:val="18"/>
                <w:szCs w:val="18"/>
              </w:rPr>
              <w:t xml:space="preserve">    -&gt; EFFET DOMINO : fragilité de fond</w:t>
            </w:r>
          </w:p>
          <w:p>
            <w:r>
              <w:rPr>
                <w:rFonts w:ascii="Consolas" w:cs="Consolas" w:eastAsia="Consolas" w:hAnsi="Consolas"/>
                <w:sz w:val="18"/>
                <w:szCs w:val="18"/>
              </w:rPr>
              <w:t xml:space="preserve">    -&gt; renforcer tests, isoler dépendances (base)</w:t>
            </w:r>
          </w:p>
        </w:tc>
      </w:tr>
    </w:tbl>
    <w:p>
      <w:pPr>
        <w:pStyle w:val="ListParagraph"/>
        <w:numPr>
          <w:ilvl w:val="0"/>
          <w:numId w:val="2"/>
        </w:numPr>
        <w:spacing w:after="80"/>
      </w:pPr>
      <w:r>
        <w:t xml:space="preserve">Reprendre les séries notables : pour chaque série passée (mesure Série max échecs du hub), examiner la cause de chaque échec de la série.</w:t>
      </w:r>
    </w:p>
    <w:p>
      <w:pPr>
        <w:pStyle w:val="ListParagraph"/>
        <w:numPr>
          <w:ilvl w:val="0"/>
          <w:numId w:val="2"/>
        </w:numPr>
        <w:spacing w:after="80"/>
      </w:pPr>
      <w:r>
        <w:t xml:space="preserve">Classer : même cause ou causes différentes : déterminer si la série est un acharnement (même cause répétée) ou un effet domino (causes différentes en cascade).</w:t>
      </w:r>
    </w:p>
    <w:p>
      <w:pPr>
        <w:pStyle w:val="ListParagraph"/>
        <w:numPr>
          <w:ilvl w:val="0"/>
          <w:numId w:val="2"/>
        </w:numPr>
        <w:spacing w:after="80"/>
      </w:pPr>
      <w:r>
        <w:t xml:space="preserve">Adapter la réponse au type : pour l’acharnement — arrêter de retenter, diagnostiquer, revert. Pour le domino — traiter la fragilité de fond (tests, dépendances). La bonne action selon le mécanisme.</w:t>
      </w:r>
    </w:p>
    <w:p>
      <w:pPr>
        <w:pStyle w:val="ListParagraph"/>
        <w:numPr>
          <w:ilvl w:val="0"/>
          <w:numId w:val="2"/>
        </w:numPr>
        <w:spacing w:after="80"/>
      </w:pPr>
      <w:r>
        <w:t xml:space="preserve">Tirer des garde-fous préventifs : de l’analyse, déduire ce qui préviendrait ces séries — un seuil d’alerte précoce (#200) contre l’acharnement, un renforcement des tests contre le domino.</w:t>
      </w:r>
    </w:p>
    <w:p>
      <w:pPr>
        <w:pStyle w:val="Heading2"/>
      </w:pPr>
      <w:r>
        <w:t xml:space="preserve">Objectif de l’atelier</w:t>
      </w:r>
    </w:p>
    <w:p>
      <w:pPr>
        <w:spacing w:after="120"/>
      </w:pPr>
      <w:r>
        <w:t xml:space="preserve">À la sortie, la squad sait analyser ses séries d’échecs en distinguant deux mécanismes opposés : la série à cause unique (acharnement sur un problème mal compris — réponse : arrêter de retenter, diagnostiquer vraiment, revert) et la série à causes différentes (effet domino révélant une fragilité de fond — réponse : renforcer les tests, isoler les dépendances). Elle adapte la réponse au type plutôt que de s’enliser sur la mauvaise piste, et en déduit des garde-fous préventifs. Les séries restantes (après le blocage des merges sur rouge) sont comprises et traitables à la racine. La mesure Série max échecs du hub baisse parce que la squad traite la bonne cause.</w:t>
      </w:r>
    </w:p>
    <w:p>
      <w:pPr>
        <w:pStyle w:val="Heading2"/>
      </w:pPr>
      <w:r>
        <w:t xml:space="preserve">Board Klaxoon</w:t>
      </w:r>
    </w:p>
    <w:p>
      <w:pPr>
        <w:spacing w:after="120"/>
      </w:pPr>
      <w:r>
        <w:rPr>
          <w:b w:val="false"/>
          <w:bCs w:val="false"/>
        </w:rPr>
        <w:t xml:space="preserve">Template recommandé : Analyser nos séries.</w:t>
      </w:r>
    </w:p>
    <w:p>
      <w:pPr>
        <w:pStyle w:val="ListParagraph"/>
        <w:numPr>
          <w:ilvl w:val="0"/>
          <w:numId w:val="2"/>
        </w:numPr>
        <w:spacing w:after="80"/>
      </w:pPr>
      <w:r>
        <w:t xml:space="preserve">Zone « Cause de chaque échec » — pour chaque série notable.</w:t>
      </w:r>
    </w:p>
    <w:p>
      <w:pPr>
        <w:pStyle w:val="ListParagraph"/>
        <w:numPr>
          <w:ilvl w:val="0"/>
          <w:numId w:val="2"/>
        </w:numPr>
        <w:spacing w:after="80"/>
      </w:pPr>
      <w:r>
        <w:t xml:space="preserve">Zone « Acharnement » — même cause répétée → diagnostiquer, revert.</w:t>
      </w:r>
    </w:p>
    <w:p>
      <w:pPr>
        <w:pStyle w:val="ListParagraph"/>
        <w:numPr>
          <w:ilvl w:val="0"/>
          <w:numId w:val="2"/>
        </w:numPr>
        <w:spacing w:after="80"/>
      </w:pPr>
      <w:r>
        <w:t xml:space="preserve">Zone « Effet domino » — causes différentes → fragilité de fond à traiter.</w:t>
      </w:r>
    </w:p>
    <w:p>
      <w:pPr>
        <w:pStyle w:val="ListParagraph"/>
        <w:numPr>
          <w:ilvl w:val="0"/>
          <w:numId w:val="2"/>
        </w:numPr>
        <w:spacing w:after="80"/>
      </w:pPr>
      <w:r>
        <w:t xml:space="preserve">Zone « Garde-fous » — ce qui préviendrait chaque type de série.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distinction : même cause (acharnement) ou causes différentes (domino) ?</w:t>
      </w:r>
    </w:p>
    <w:p>
      <w:pPr>
        <w:pStyle w:val="ListParagraph"/>
        <w:numPr>
          <w:ilvl w:val="0"/>
          <w:numId w:val="2"/>
        </w:numPr>
        <w:spacing w:after="80"/>
      </w:pPr>
      <w:r>
        <w:rPr>
          <w:b/>
          <w:bCs/>
        </w:rPr>
        <w:t xml:space="preserve">(15 min) Analyser les séries</w:t>
      </w:r>
      <w:r>
        <w:t xml:space="preserve"> — la cause de chaque échec, classer acharnement vs domino.</w:t>
      </w:r>
    </w:p>
    <w:p>
      <w:pPr>
        <w:pStyle w:val="ListParagraph"/>
        <w:numPr>
          <w:ilvl w:val="0"/>
          <w:numId w:val="2"/>
        </w:numPr>
        <w:spacing w:after="80"/>
      </w:pPr>
      <w:r>
        <w:rPr>
          <w:b/>
          <w:bCs/>
        </w:rPr>
        <w:t xml:space="preserve">(12 min) Adapter la réponse</w:t>
      </w:r>
      <w:r>
        <w:t xml:space="preserve"> — diagnostiquer/revert pour l’acharnement, fond pour le domino.</w:t>
      </w:r>
    </w:p>
    <w:p>
      <w:pPr>
        <w:pStyle w:val="ListParagraph"/>
        <w:numPr>
          <w:ilvl w:val="0"/>
          <w:numId w:val="2"/>
        </w:numPr>
        <w:spacing w:after="80"/>
      </w:pPr>
      <w:r>
        <w:rPr>
          <w:b/>
          <w:bCs/>
        </w:rPr>
        <w:t xml:space="preserve">(8 min) Tirer des garde-fous</w:t>
      </w:r>
      <w:r>
        <w:t xml:space="preserve"> — alerte précoce contre l’acharnement, tests contre le domino.</w:t>
      </w:r>
    </w:p>
    <w:p>
      <w:pPr>
        <w:pStyle w:val="ListParagraph"/>
        <w:numPr>
          <w:ilvl w:val="0"/>
          <w:numId w:val="2"/>
        </w:numPr>
        <w:spacing w:after="80"/>
      </w:pPr>
      <w:r>
        <w:rPr>
          <w:b/>
          <w:bCs/>
        </w:rPr>
        <w:t xml:space="preserve">(5 min) Débrief</w:t>
      </w:r>
      <w:r>
        <w:t xml:space="preserve"> — on constate : les séries sont comprises et traitées à la racine.</w:t>
      </w:r>
    </w:p>
    <w:p>
      <w:pPr>
        <w:pStyle w:val="Heading2"/>
      </w:pPr>
      <w:r>
        <w:t xml:space="preserve">Livrable de l’atelier</w:t>
      </w:r>
    </w:p>
    <w:p>
      <w:pPr>
        <w:pStyle w:val="ListParagraph"/>
        <w:numPr>
          <w:ilvl w:val="0"/>
          <w:numId w:val="2"/>
        </w:numPr>
        <w:spacing w:after="80"/>
      </w:pPr>
      <w:r>
        <w:t xml:space="preserve">L’analyse des séries notables (cause de chaque échec).</w:t>
      </w:r>
    </w:p>
    <w:p>
      <w:pPr>
        <w:pStyle w:val="ListParagraph"/>
        <w:numPr>
          <w:ilvl w:val="0"/>
          <w:numId w:val="2"/>
        </w:numPr>
        <w:spacing w:after="80"/>
      </w:pPr>
      <w:r>
        <w:t xml:space="preserve">La distinction acharnement (cause unique) / domino (causes différentes).</w:t>
      </w:r>
    </w:p>
    <w:p>
      <w:pPr>
        <w:pStyle w:val="ListParagraph"/>
        <w:numPr>
          <w:ilvl w:val="0"/>
          <w:numId w:val="2"/>
        </w:numPr>
        <w:spacing w:after="80"/>
      </w:pPr>
      <w:r>
        <w:t xml:space="preserve">La réponse adaptée à chaque type de série.</w:t>
      </w:r>
    </w:p>
    <w:p>
      <w:pPr>
        <w:pStyle w:val="ListParagraph"/>
        <w:numPr>
          <w:ilvl w:val="0"/>
          <w:numId w:val="2"/>
        </w:numPr>
        <w:spacing w:after="80"/>
      </w:pPr>
      <w:r>
        <w:t xml:space="preserve">Des garde-fous préventifs déduits de l’analyse.</w:t>
      </w:r>
    </w:p>
    <w:p>
      <w:pPr>
        <w:pStyle w:val="Heading2"/>
      </w:pPr>
      <w:r>
        <w:t xml:space="preserve">Articulation S04 (ce qui suit)</w:t>
      </w:r>
    </w:p>
    <w:p>
      <w:pPr>
        <w:spacing w:after="120"/>
      </w:pPr>
      <w:r>
        <w:t xml:space="preserve">L’analyse comprend les séries. Reste #200 (alerte signal faible — intervenir dès une série de 2 pour éviter qu’elle s’aggrave), qui clôt S04. L’analyse (#199) montre qu’il vaut mieux casser une série tôt — ce que l’alerte précoce (#200) permet.</w:t>
      </w:r>
    </w:p>
    <w:p>
      <w:pPr>
        <w:pStyle w:val="Heading2"/>
      </w:pPr>
      <w:r>
        <w:t xml:space="preserve">Critère de réussite</w:t>
      </w:r>
    </w:p>
    <w:p>
      <w:pPr>
        <w:spacing w:after="120"/>
      </w:pPr>
      <w:r>
        <w:t xml:space="preserve">La squad sait analyser ses séries en distinguant l’acharnement (cause unique → diagnostiquer, revert) de l’effet domino (causes différentes → fragilité de fond à traiter), et adapte sa réponse au mécanisme plutôt que de s’enliser, en déduisant des garde-fous préventifs. Les séries restantes sont comprises et traitables à la racine. La mesure Série max échecs du hub baisse. La question S04 comprend ses séries, prête à les prévenir par une alerte précoce (#200).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2026-06-26T14:04:43.501Z</dcterms:created>
  <dcterms:modified xsi:type="dcterms:W3CDTF">2026-06-26T14:04:43.501Z</dcterms:modified>
</cp:coreProperties>
</file>

<file path=docProps/custom.xml><?xml version="1.0" encoding="utf-8"?>
<Properties xmlns="http://schemas.openxmlformats.org/officeDocument/2006/custom-properties" xmlns:vt="http://schemas.openxmlformats.org/officeDocument/2006/docPropsVTypes"/>
</file>