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#105 — Déployer sans activer : comprendre les feature flags</w:t>
      </w:r>
    </w:p>
    <w:p>
      <w:pPr>
        <w:spacing w:after="160"/>
      </w:pPr>
      <w:r>
        <w:rPr>
          <w:i/>
          <w:iCs/>
        </w:rPr>
        <w:t xml:space="preserve">CAPSULE (pédagogique) · Axe Pratiques DevOps — Question P01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 socle conceptuel (à lire avant les ateliers #106-110)</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Utilisez-vous des feature flags pour découpler déploiement et activation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Aucun feature flag : comprendre le concept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25-30 min (lecture)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Aucun — capsule accessible à un développeur débutant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Objectif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Comprendre comment séparer « déployer du code » et « activer une fonctionnalité »</w:t>
            </w:r>
          </w:p>
        </w:tc>
      </w:tr>
    </w:tbl>
    <w:p>
      <w:pPr>
        <w:pStyle w:val="Heading2"/>
      </w:pPr>
      <w:r>
        <w:t xml:space="preserve">Chapitre 1 — L’intuition fausse : « déployer, c’est mettre en service »</w:t>
      </w:r>
    </w:p>
    <w:p>
      <w:pPr>
        <w:spacing w:after="120"/>
      </w:pPr>
      <w:r>
        <w:t xml:space="preserve">Pour qui débute, déployer et activer sont la même chose : on met le code en production, donc la fonctionnalité est en service. Les deux sont collés. Et c’est cette fusion qui rend les déploiements stressants : au moment où on déploie, tout devient visible d’un coup, pour tout le monde. Si quelque chose ne va pas, on a déjà tout exposé — il faut redéployer en urgence pour revenir en arrière.</w:t>
      </w:r>
    </w:p>
    <w:p>
      <w:pPr>
        <w:spacing w:after="120"/>
      </w:pPr>
      <w:r>
        <w:t xml:space="preserve">Le feature flag casse cette fusion. Il permet de DÉPLOYER le code sans l’ACTIVER : le code part en production, mais la fonctionnalité reste éteinte, invisible, derrière un interrupteur. On l’allumera plus tard, quand on veut, pour qui on veut. Déployer et activer deviennent deux gestes séparés, à deux moments différents, décidés indépendamment.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L’idée centrale de cette capsule</w:t>
            </w:r>
          </w:p>
          <w:p>
            <w:pPr>
              <w:spacing w:after="60"/>
            </w:pPr>
            <w:r>
              <w:t xml:space="preserve">Un feature flag est un interrupteur dans le code : « si le flag est allumé, montre la nouvelle fonctionnalité ; sinon, ne la montre pas ». Conséquence : on peut déployer le code (le flag éteint) sans que personne ne voie la fonctionnalité, puis l’allumer plus tard, indépendamment du déploiement. Déployer = livrer le code. Activer = allumer le flag. Ce sont deux décisions séparées. Tout l’intérêt des feature flags vient de cette séparation.</w:t>
            </w:r>
          </w:p>
        </w:tc>
      </w:tr>
    </w:tbl>
    <w:p>
      <w:pPr>
        <w:pStyle w:val="Heading2"/>
      </w:pPr>
      <w:r>
        <w:t xml:space="preserve">Chapitre 2 — À quoi ça ressemble dans le code</w:t>
      </w:r>
    </w:p>
    <w:p>
      <w:pPr>
        <w:spacing w:after="120"/>
      </w:pPr>
      <w:r>
        <w:t xml:space="preserve">Concrètement, un feature flag est une condition. Le code des deux comportements (avec et sans la fonctionnalité) est présent ; c’est le flag qui décide lequel s’exécute.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LE FLAG EST UNE CONDITION</w:t>
            </w:r>
          </w:p>
          <w:p>
            <w:r>
              <w:rPr>
                <w:rFonts w:ascii="Consolas" w:cs="Consolas" w:eastAsia="Consolas" w:hAnsi="Consolas"/>
                <w:sz w:val="18"/>
                <w:szCs w:val="18"/>
              </w:rPr>
              <w:t xml:space="preserve"> </w:t>
            </w:r>
          </w:p>
          <w:p>
            <w:r>
              <w:rPr>
                <w:rFonts w:ascii="Consolas" w:cs="Consolas" w:eastAsia="Consolas" w:hAnsi="Consolas"/>
                <w:sz w:val="18"/>
                <w:szCs w:val="18"/>
              </w:rPr>
              <w:t xml:space="preserve">  if (featureFlag('nouveau-tunnel-paiement')) {</w:t>
            </w:r>
          </w:p>
          <w:p>
            <w:r>
              <w:rPr>
                <w:rFonts w:ascii="Consolas" w:cs="Consolas" w:eastAsia="Consolas" w:hAnsi="Consolas"/>
                <w:sz w:val="18"/>
                <w:szCs w:val="18"/>
              </w:rPr>
              <w:t xml:space="preserve">      // nouvelle fonctionnalité (déployée mais</w:t>
            </w:r>
          </w:p>
          <w:p>
            <w:r>
              <w:rPr>
                <w:rFonts w:ascii="Consolas" w:cs="Consolas" w:eastAsia="Consolas" w:hAnsi="Consolas"/>
                <w:sz w:val="18"/>
                <w:szCs w:val="18"/>
              </w:rPr>
              <w:t xml:space="preserve">      // visible seulement si le flag est allumé)</w:t>
            </w:r>
          </w:p>
          <w:p>
            <w:r>
              <w:rPr>
                <w:rFonts w:ascii="Consolas" w:cs="Consolas" w:eastAsia="Consolas" w:hAnsi="Consolas"/>
                <w:sz w:val="18"/>
                <w:szCs w:val="18"/>
              </w:rPr>
              <w:t xml:space="preserve">      afficherNouveauTunnel();</w:t>
            </w:r>
          </w:p>
          <w:p>
            <w:r>
              <w:rPr>
                <w:rFonts w:ascii="Consolas" w:cs="Consolas" w:eastAsia="Consolas" w:hAnsi="Consolas"/>
                <w:sz w:val="18"/>
                <w:szCs w:val="18"/>
              </w:rPr>
              <w:t xml:space="preserve">  } else {</w:t>
            </w:r>
          </w:p>
          <w:p>
            <w:r>
              <w:rPr>
                <w:rFonts w:ascii="Consolas" w:cs="Consolas" w:eastAsia="Consolas" w:hAnsi="Consolas"/>
                <w:sz w:val="18"/>
                <w:szCs w:val="18"/>
              </w:rPr>
              <w:t xml:space="preserve">      // ancien comportement (ce que voient les</w:t>
            </w:r>
          </w:p>
          <w:p>
            <w:r>
              <w:rPr>
                <w:rFonts w:ascii="Consolas" w:cs="Consolas" w:eastAsia="Consolas" w:hAnsi="Consolas"/>
                <w:sz w:val="18"/>
                <w:szCs w:val="18"/>
              </w:rPr>
              <w:t xml:space="preserve">      // utilisateurs tant que le flag est éteint)</w:t>
            </w:r>
          </w:p>
          <w:p>
            <w:r>
              <w:rPr>
                <w:rFonts w:ascii="Consolas" w:cs="Consolas" w:eastAsia="Consolas" w:hAnsi="Consolas"/>
                <w:sz w:val="18"/>
                <w:szCs w:val="18"/>
              </w:rPr>
              <w:t xml:space="preserve">      afficherAncienTunnel();</w:t>
            </w:r>
          </w:p>
          <w:p>
            <w:r>
              <w:rPr>
                <w:rFonts w:ascii="Consolas" w:cs="Consolas" w:eastAsia="Consolas" w:hAnsi="Consolas"/>
                <w:sz w:val="18"/>
                <w:szCs w:val="18"/>
              </w:rPr>
              <w:t xml:space="preserve">  }</w:t>
            </w:r>
          </w:p>
          <w:p>
            <w:r>
              <w:rPr>
                <w:rFonts w:ascii="Consolas" w:cs="Consolas" w:eastAsia="Consolas" w:hAnsi="Consolas"/>
                <w:sz w:val="18"/>
                <w:szCs w:val="18"/>
              </w:rPr>
              <w:t xml:space="preserve"> </w:t>
            </w:r>
          </w:p>
          <w:p>
            <w:r>
              <w:rPr>
                <w:rFonts w:ascii="Consolas" w:cs="Consolas" w:eastAsia="Consolas" w:hAnsi="Consolas"/>
                <w:sz w:val="18"/>
                <w:szCs w:val="18"/>
              </w:rPr>
              <w:t xml:space="preserve">  Le code des DEUX chemins est déployé en production.</w:t>
            </w:r>
          </w:p>
          <w:p>
            <w:r>
              <w:rPr>
                <w:rFonts w:ascii="Consolas" w:cs="Consolas" w:eastAsia="Consolas" w:hAnsi="Consolas"/>
                <w:sz w:val="18"/>
                <w:szCs w:val="18"/>
              </w:rPr>
              <w:t xml:space="preserve">  Le flag (éteint/allumé) décide lequel s'exécute,</w:t>
            </w:r>
          </w:p>
          <w:p>
            <w:r>
              <w:rPr>
                <w:rFonts w:ascii="Consolas" w:cs="Consolas" w:eastAsia="Consolas" w:hAnsi="Consolas"/>
                <w:sz w:val="18"/>
                <w:szCs w:val="18"/>
              </w:rPr>
              <w:t xml:space="preserve">  SANS redéployer. On change l'interrupteur, pas le code.</w:t>
            </w:r>
          </w:p>
        </w:tc>
      </w:tr>
    </w:tbl>
    <w:p>
      <w:pPr>
        <w:spacing w:after="120"/>
      </w:pPr>
      <w:r>
        <w:t xml:space="preserve">Le point décisif : changer l’état du flag (éteindre/allumer) ne demande PAS de redéployer. On bascule l’interrupteur — depuis une interface, une config — et le comportement change en production, immédiatement. C’est ce qui rend le flag si puissant : il sépare le rythme du code (déploiements) du rythme des décisions produit (activations).</w:t>
      </w:r>
    </w:p>
    <w:p>
      <w:pPr>
        <w:pStyle w:val="Heading2"/>
      </w:pPr>
      <w:r>
        <w:t xml:space="preserve">Chapitre 3 — Ce que ça change au quotidien (les usages)</w:t>
      </w:r>
    </w:p>
    <w:p>
      <w:pPr>
        <w:pStyle w:val="ListParagraph"/>
        <w:numPr>
          <w:ilvl w:val="0"/>
          <w:numId w:val="2"/>
        </w:numPr>
        <w:spacing w:after="80"/>
      </w:pPr>
      <w:r>
        <w:rPr>
          <w:b/>
          <w:bCs/>
        </w:rPr>
        <w:t xml:space="preserve">Déployer en continu sans tout exposer : </w:t>
      </w:r>
      <w:r>
        <w:t xml:space="preserve">on peut livrer du code pas encore fini ou pas encore validé, flag éteint. Il dort en production sans gêner personne. Fini le « on attend d’avoir tout terminé pour déployer » — on déploie petit à petit, on active quand c’est prêt.</w:t>
      </w:r>
    </w:p>
    <w:p>
      <w:pPr>
        <w:pStyle w:val="ListParagraph"/>
        <w:numPr>
          <w:ilvl w:val="0"/>
          <w:numId w:val="2"/>
        </w:numPr>
        <w:spacing w:after="80"/>
      </w:pPr>
      <w:r>
        <w:rPr>
          <w:b/>
          <w:bCs/>
        </w:rPr>
        <w:t xml:space="preserve">Le kill switch : éteindre en cas de problème, sans redéployer : </w:t>
      </w:r>
      <w:r>
        <w:t xml:space="preserve">si une fonctionnalité activée pose problème en production, on l’éteint instantanément en basculant le flag — pas de redéploiement d’urgence, pas de rollback de code stressant. L’interrupteur est le retour arrière le plus rapide qui soit.</w:t>
      </w:r>
    </w:p>
    <w:p>
      <w:pPr>
        <w:pStyle w:val="ListParagraph"/>
        <w:numPr>
          <w:ilvl w:val="0"/>
          <w:numId w:val="2"/>
        </w:numPr>
        <w:spacing w:after="80"/>
      </w:pPr>
      <w:r>
        <w:rPr>
          <w:b/>
          <w:bCs/>
        </w:rPr>
        <w:t xml:space="preserve">Le rollout progressif : activer petit à petit : </w:t>
      </w:r>
      <w:r>
        <w:t xml:space="preserve">au lieu d’exposer une nouveauté à 100 % des utilisateurs d’un coup, on l’active pour 1 %, puis 10 %, puis 50 %… en surveillant. Si ça se passe mal à 10 %, on coupe avant que tout le monde soit touché. Le risque est dilué et maîtrisé.</w:t>
      </w:r>
    </w:p>
    <w:p>
      <w:pPr>
        <w:pStyle w:val="ListParagraph"/>
        <w:numPr>
          <w:ilvl w:val="0"/>
          <w:numId w:val="2"/>
        </w:numPr>
        <w:spacing w:after="80"/>
      </w:pPr>
      <w:r>
        <w:rPr>
          <w:b/>
          <w:bCs/>
        </w:rPr>
        <w:t xml:space="preserve">Tester en production en conditions réelles : </w:t>
      </w:r>
      <w:r>
        <w:t xml:space="preserve">on peut activer une fonctionnalité uniquement pour l’équipe, ou pour un groupe pilote, afin de la valider en vrai avant de l’ouvrir à tous. C’est le targeting, qu’on verra à l’atelier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lien avec « déployer souvent » (D01, D05)</w:t>
            </w:r>
          </w:p>
          <w:p>
            <w:pPr>
              <w:spacing w:after="60"/>
            </w:pPr>
            <w:r>
              <w:t xml:space="preserve">Les feature flags sont ce qui rend le déploiement fréquent SEREIN. Quand déployer n’expose plus automatiquement (le code part flag éteint), la peur de déployer disparaît : on peut livrer dix fois par jour sans rien casser de visible, et décider séparément quand activer. C’est pour ça que les feature flags sont un socle des pratiques DevOps avancées — ils découplent la livraison technique de la décision produit.</w:t>
            </w:r>
          </w:p>
        </w:tc>
      </w:tr>
    </w:tbl>
    <w:p>
      <w:pPr>
        <w:pStyle w:val="Heading2"/>
      </w:pPr>
      <w:r>
        <w:t xml:space="preserve">Chapitre 4 — Le revers : la dette de flags (et pourquoi P02 existe)</w:t>
      </w:r>
    </w:p>
    <w:p>
      <w:pPr>
        <w:spacing w:after="120"/>
      </w:pPr>
      <w:r>
        <w:t xml:space="preserve">Les feature flags ont un coût qu’il faut connaître dès le départ. Chaque flag ajoute une condition dans le code — deux chemins à maintenir. Un flag utile pendant le déploiement d’une fonctionnalité ne sert souvent plus une fois la fonctionnalité activée à 100 % et stabilisée. S’il reste là, il devient un FLAG ZOMBIE : une condition morte qui complique le code, sème la confusion (« à quoi sert ce flag ? on peut l’enlever ? ») et finit par être un risque (un flag oublié réactivé par erreur).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dette de flags, à anticiper dès maintenant</w:t>
            </w:r>
          </w:p>
          <w:p>
            <w:pPr>
              <w:spacing w:after="60"/>
            </w:pPr>
            <w:r>
              <w:t xml:space="preserve">Un flag a un cycle de vie : on le crée pour déployer/activer en douceur, et une fois la fonctionnalité stabilisée, on doit le RETIRER — enlever la condition, garder seulement le nouveau chemin. Un flag qu’on ne retire jamais devient un zombie qui pourrit le code. C’est exactement ce que traite la question P02 (nettoyage des flags obsolètes) : elle existe parce que les flags non nettoyés sont une dette. À retenir dès la capsule : créer un flag, c’est s’engager à le retirer un jour. Le flag est temporaire par nature.</w:t>
            </w:r>
          </w:p>
        </w:tc>
      </w:tr>
    </w:tbl>
    <w:p>
      <w:pPr>
        <w:pStyle w:val="Heading2"/>
      </w:pPr>
      <w:r>
        <w:t xml:space="preserve">Chapitre 5 — Flag de déploiement vs flag de configuration (ne pas confondre)</w:t>
      </w:r>
    </w:p>
    <w:p>
      <w:pPr>
        <w:spacing w:after="120"/>
      </w:pPr>
      <w:r>
        <w:t xml:space="preserve">Une distinction utile pour éviter la confusion. Tous les « interrupteurs » ne sont pas des feature flags au sens de cette capsule :</w:t>
      </w:r>
    </w:p>
    <w:p>
      <w:pPr>
        <w:pStyle w:val="ListParagraph"/>
        <w:numPr>
          <w:ilvl w:val="0"/>
          <w:numId w:val="2"/>
        </w:numPr>
        <w:spacing w:after="80"/>
      </w:pPr>
      <w:r>
        <w:rPr>
          <w:b/>
          <w:bCs/>
        </w:rPr>
        <w:t xml:space="preserve">Le flag de déploiement (l’objet de P01) : </w:t>
      </w:r>
      <w:r>
        <w:t xml:space="preserve">temporaire, lié à la sortie d’une fonctionnalité. Il sert à déployer sans activer, faire un rollout progressif, puis il est retiré une fois la fonctionnalité stabilisée. Durée de vie : le temps du déploiement.</w:t>
      </w:r>
    </w:p>
    <w:p>
      <w:pPr>
        <w:pStyle w:val="ListParagraph"/>
        <w:numPr>
          <w:ilvl w:val="0"/>
          <w:numId w:val="2"/>
        </w:numPr>
        <w:spacing w:after="80"/>
      </w:pPr>
      <w:r>
        <w:rPr>
          <w:b/>
          <w:bCs/>
        </w:rPr>
        <w:t xml:space="preserve">Le flag de configuration (permanent, autre usage) : </w:t>
      </w:r>
      <w:r>
        <w:t xml:space="preserve">un réglage durable du produit (activer/désactiver une option selon le client, l’offre…). Il a vocation à rester. Ce n’est pas une dette — c’est de la configuration. On ne le traite pas comme un flag de déploiement.</w:t>
      </w:r>
    </w:p>
    <w:p>
      <w:pPr>
        <w:spacing w:after="120"/>
      </w:pPr>
      <w:r>
        <w:t xml:space="preserve">La confusion entre les deux est fréquente : on garde un flag de déploiement « au cas où », il devient permanent sans l’assumer, et il pourrit. Savoir dès la création de quel type est un flag — temporaire ou permanent — est ce qui permet de le retirer au bon moment (pour les temporaires) sans hésiter.</w:t>
      </w:r>
    </w:p>
    <w:p>
      <w:pPr>
        <w:pStyle w:val="Heading2"/>
      </w:pPr>
      <w:r>
        <w:t xml:space="preserve">Chapitre 6 — Le bon réflexe (ce que les ateliers #106-110 mettront en place)</w:t>
      </w:r>
    </w:p>
    <w:p>
      <w:pPr>
        <w:pStyle w:val="ListParagraph"/>
        <w:numPr>
          <w:ilvl w:val="0"/>
          <w:numId w:val="2"/>
        </w:numPr>
        <w:spacing w:after="80"/>
      </w:pPr>
      <w:r>
        <w:t xml:space="preserve">Poser un premier flag sur une vraie fonctionnalité, pour vivre le découplage déploiement/activation (#106).</w:t>
      </w:r>
    </w:p>
    <w:p>
      <w:pPr>
        <w:pStyle w:val="ListParagraph"/>
        <w:numPr>
          <w:ilvl w:val="0"/>
          <w:numId w:val="2"/>
        </w:numPr>
        <w:spacing w:after="80"/>
      </w:pPr>
      <w:r>
        <w:t xml:space="preserve">Passer des variables d’environnement bricolées à un vrai outil de feature flags (#107), et migrer l’existant (#108).</w:t>
      </w:r>
    </w:p>
    <w:p>
      <w:pPr>
        <w:pStyle w:val="ListParagraph"/>
        <w:numPr>
          <w:ilvl w:val="0"/>
          <w:numId w:val="2"/>
        </w:numPr>
        <w:spacing w:after="80"/>
      </w:pPr>
      <w:r>
        <w:t xml:space="preserve">Systématiser l’usage des flags selon la politique de la squad (#109).</w:t>
      </w:r>
    </w:p>
    <w:p>
      <w:pPr>
        <w:pStyle w:val="ListParagraph"/>
        <w:numPr>
          <w:ilvl w:val="0"/>
          <w:numId w:val="2"/>
        </w:numPr>
        <w:spacing w:after="80"/>
      </w:pPr>
      <w:r>
        <w:t xml:space="preserve">Maîtriser le targeting — activer par utilisateur, par pourcentage, par environnement (#110).</w:t>
      </w:r>
    </w:p>
    <w:p>
      <w:pPr>
        <w:pStyle w:val="ListParagraph"/>
        <w:numPr>
          <w:ilvl w:val="0"/>
          <w:numId w:val="2"/>
        </w:numPr>
        <w:spacing w:after="80"/>
      </w:pPr>
      <w:r>
        <w:t xml:space="preserve">Et, tout du long, garder en tête le cycle de vie : un flag de déploiement se retire (P02).</w:t>
      </w:r>
    </w:p>
    <w:p>
      <w:pPr>
        <w:pStyle w:val="Heading2"/>
      </w:pPr>
      <w:r>
        <w:t xml:space="preserve">Critère de compréhension</w:t>
      </w:r>
    </w:p>
    <w:p>
      <w:pPr>
        <w:spacing w:after="120"/>
      </w:pPr>
      <w:r>
        <w:t xml:space="preserve">La capsule est comprise si l’on sait expliquer trois choses : la différence entre déployer (livrer le code) et activer (allumer le flag), et pourquoi les séparer rend le déploiement serein (on livre sans exposer, on active quand on veut) ; les usages clés qui en découlent (kill switch instantané sans redéploiement, rollout progressif, test en production ciblé) ; et le revers à anticiper (un flag de déploiement est temporaire — un flag jamais retiré devient un zombie, d’où la question P02). Qui comprend que déployer ≠ activer, et qu’un flag se crée en s’engageant à le retirer, a saisi l’essentiel — les ateliers #106-110 n’auront plus qu’à le mettre en pratique.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2026-06-26T10:22:09.539Z</dcterms:created>
  <dcterms:modified xsi:type="dcterms:W3CDTF">2026-06-26T10:22:09.558Z</dcterms:modified>
</cp:coreProperties>
</file>

<file path=docProps/custom.xml><?xml version="1.0" encoding="utf-8"?>
<Properties xmlns="http://schemas.openxmlformats.org/officeDocument/2006/custom-properties" xmlns:vt="http://schemas.openxmlformats.org/officeDocument/2006/docPropsVTypes"/>
</file>