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Checklist de conformité X — Runbook GitLab hardening</w:t>
      </w:r>
    </w:p>
    <w:p>
      <w:pPr>
        <w:spacing w:after="160"/>
      </w:pPr>
      <w:r>
        <w:rPr>
          <w:i/>
          <w:iCs/>
        </w:rPr>
        <w:t xml:space="preserve">Axe Conformité (X) — Actions #201 à #205 · document unique de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CHECKLIST DE CONFORMITÉ — runbook non négociable (résout 5 doublons par synthèse)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Conformité (X) — settings de sécurité obligatoires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Questions couvertes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X01 à X05 (#201-205)</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Checklist d’audit / hardening : liste les settings obligatoires, renvoie aux ateliers pédagogiques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Public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Maintainers, référents sécurité/conformité, audit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Haute — settings non négociables en contexte bancaire</w:t>
            </w:r>
          </w:p>
        </w:tc>
      </w:tr>
    </w:tbl>
    <w:p>
      <w:pPr>
        <w:pStyle w:val="Heading2"/>
      </w:pPr>
      <w:r>
        <w:t xml:space="preserve">Objet de ce document</w:t>
      </w:r>
    </w:p>
    <w:p>
      <w:pPr>
        <w:spacing w:after="120"/>
      </w:pPr>
      <w:r>
        <w:t xml:space="preserve">Les actions #201 à #205 de l’axe Conformité (X) demandent d’activer cinq settings de sécurité GitLab obligatoires. Comme l’a relevé le coach, ces cinq actions sont des DOUBLONS EXACTS de settings déjà traités pédagogiquement ailleurs dans le corpus (axes Hygiène et Review) : les réécrire en ateliers dupliquerait ce matériel. Plutôt que cinq doublons, ce document unique assume l’angle que le coach a suggéré : X n’est pas un accompagnement pédagogique, c’est une CHECKLIST DE CONFORMITÉ non négociable. Là où les ateliers d’origine expliquent le POURQUOI et accompagnent la squad, cette checklist liste le QUOI obligatoire — les cinq settings à activer et vérifier — en renvoyant, pour chacun, à l’atelier qui en porte la pédagogie. C’est l’artefact qu’un référent sécurité ou un audit utilise pour vérifier la conformité d’un dépôt, sans rien dupliquer.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Pourquoi une checklist plutôt que 5 ateliers (angle coach)</w:t>
            </w:r>
          </w:p>
          <w:p>
            <w:pPr>
              <w:spacing w:after="60"/>
            </w:pPr>
            <w:r>
              <w:t xml:space="preserve">Le coach a signalé les cinq actions X comme doublons exacts : #201 branch protection (= H03-90/93), #202 interdiction force push (= H03-92/93), #203 prevent approval by author (= Q02-137/138), #204 prevent approvals by committers (= Q02-140), #205 reset approvals on push (= Q02-141). Son alternative : « assumer X = checklist conformité non négociable vs accompagnement pédagogique ». C’est ce qu’on fait ici. La VALEUR ajoutée de ce document n’est pas pédagogique (les ateliers d’origine la portent) mais OPÉRATIONNELLE : un point de contrôle unique, format audit, qui réunit les cinq settings non négociables au même endroit. On transforme cinq doublons en un artefact utile — la checklist de hardening que la sécurité et l’audit attendent — sans dupliquer une ligne de pédagogie.</w:t>
            </w:r>
          </w:p>
        </w:tc>
      </w:tr>
    </w:tbl>
    <w:p>
      <w:pPr>
        <w:pStyle w:val="Heading2"/>
      </w:pPr>
      <w:r>
        <w:t xml:space="preserve">La checklist de conformité</w:t>
      </w:r>
    </w:p>
    <w:p>
      <w:pPr>
        <w:spacing w:after="120"/>
      </w:pPr>
      <w:r>
        <w:t xml:space="preserve">Les cinq settings ci-dessous sont obligatoires sur tout dépôt en contexte bancaire. Pour chacun : le setting à activer, l’atelier qui en porte la pédagogie (le POURQUOI et l’accompagnement), et la vérification de conformité. Cocher chaque ligne une fois le setting activé ET vérifié.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26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Setting obligatoire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Atelier pédagogique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Vérification</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Branch protection (main protégée)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H03 (#90, #93)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direct sur main refusé ; tout passe par MR</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Interdiction du force 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H03 (#92, #93)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force push sur main est refusé</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Prevent approval by author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Q02 (#137, #138)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L’auteur ne peut pas approuver sa propre MR</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Prevent approvals by committers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Q02 (#140)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contributeur à la MR ne peut pas l’approuver</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Reset approvals on 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Q02 (#141)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push réinitialise les approbations</w:t>
            </w:r>
          </w:p>
        </w:tc>
      </w:tr>
    </w:tbl>
    <w:p>
      <w:pPr>
        <w:pStyle w:val="Heading2"/>
      </w:pPr>
      <w:r>
        <w:t xml:space="preserve">Détail des cinq settings (renvois)</w:t>
      </w:r>
    </w:p>
    <w:p>
      <w:pPr>
        <w:spacing w:after="120"/>
      </w:pPr>
      <w:r>
        <w:t xml:space="preserve">Chaque setting est traité en profondeur dans son atelier d’origine. Ce document ne réexplique pas le pourquoi — il renvoie :</w:t>
      </w:r>
    </w:p>
    <w:p>
      <w:pPr>
        <w:pStyle w:val="ListParagraph"/>
        <w:numPr>
          <w:ilvl w:val="0"/>
          <w:numId w:val="2"/>
        </w:numPr>
        <w:spacing w:after="80"/>
      </w:pPr>
      <w:r>
        <w:rPr>
          <w:b/>
          <w:bCs/>
        </w:rPr>
        <w:t xml:space="preserve">#201 — Branch protection. </w:t>
      </w:r>
      <w:r>
        <w:t xml:space="preserve">La branche principale est protégée : aucun push direct, tout passe par merge request. Pédagogie et mise en place : atelier H03 (#90 sur la protection de branche, #93 sur l’interdiction du push direct sur main). Vérification : un push direct sur main est refusé.</w:t>
      </w:r>
    </w:p>
    <w:p>
      <w:pPr>
        <w:pStyle w:val="ListParagraph"/>
        <w:numPr>
          <w:ilvl w:val="0"/>
          <w:numId w:val="2"/>
        </w:numPr>
        <w:spacing w:after="80"/>
      </w:pPr>
      <w:r>
        <w:rPr>
          <w:b/>
          <w:bCs/>
        </w:rPr>
        <w:t xml:space="preserve">#202 — Interdiction du force push. </w:t>
      </w:r>
      <w:r>
        <w:t xml:space="preserve">Le force push (réécriture de l’historique) est interdit sur la branche principale. Pédagogie et mise en place : atelier H03 (#92 sur l’interdiction du force push, #93). Même setting GitLab que la protection de branche. Vérification : un force push sur main est refusé.</w:t>
      </w:r>
    </w:p>
    <w:p>
      <w:pPr>
        <w:pStyle w:val="ListParagraph"/>
        <w:numPr>
          <w:ilvl w:val="0"/>
          <w:numId w:val="2"/>
        </w:numPr>
        <w:spacing w:after="80"/>
      </w:pPr>
      <w:r>
        <w:rPr>
          <w:b/>
          <w:bCs/>
        </w:rPr>
        <w:t xml:space="preserve">#203 — Prevent approval by author. </w:t>
      </w:r>
      <w:r>
        <w:t xml:space="preserve">L’auteur d’une MR ne peut pas l’approuver lui-même (principe des quatre yeux). Pédagogie et mise en place : ateliers Q02 (#137 sur le principe des quatre yeux, #138 sur la configuration des règles d’approbation). Vérification : l’auteur ne figure pas parmi les approbateurs possibles de sa MR.</w:t>
      </w:r>
    </w:p>
    <w:p>
      <w:pPr>
        <w:pStyle w:val="ListParagraph"/>
        <w:numPr>
          <w:ilvl w:val="0"/>
          <w:numId w:val="2"/>
        </w:numPr>
        <w:spacing w:after="80"/>
      </w:pPr>
      <w:r>
        <w:rPr>
          <w:b/>
          <w:bCs/>
        </w:rPr>
        <w:t xml:space="preserve">#204 — Prevent approvals by committers. </w:t>
      </w:r>
      <w:r>
        <w:t xml:space="preserve">Une personne ayant contribué un commit à la MR ne peut pas l’approuver. Pédagogie et mise en place : atelier Q02 (#140). C’est mot pour mot l’action Q02-140. Vérification : un contributeur à la MR ne peut pas l’approuver.</w:t>
      </w:r>
    </w:p>
    <w:p>
      <w:pPr>
        <w:pStyle w:val="ListParagraph"/>
        <w:numPr>
          <w:ilvl w:val="0"/>
          <w:numId w:val="2"/>
        </w:numPr>
        <w:spacing w:after="80"/>
      </w:pPr>
      <w:r>
        <w:rPr>
          <w:b/>
          <w:bCs/>
        </w:rPr>
        <w:t xml:space="preserve">#205 — Reset approvals on push (Remove all approvals when commits are added). </w:t>
      </w:r>
      <w:r>
        <w:t xml:space="preserve">Tout nouveau push sur une MR réinitialise ses approbations, garantissant que l’approbation porte sur le code final. Pédagogie et mise en place : atelier Q02 (#141). C’est mot pour mot l’action Q02-141. Vérification : après un push, les approbations de la MR sont remises à zéro.</w:t>
      </w:r>
    </w:p>
    <w:p>
      <w:pPr>
        <w:pStyle w:val="Heading2"/>
      </w:pPr>
      <w:r>
        <w:t xml:space="preserve">Usage de la checklist</w:t>
      </w:r>
    </w:p>
    <w:p>
      <w:pPr>
        <w:pStyle w:val="ListParagraph"/>
        <w:numPr>
          <w:ilvl w:val="0"/>
          <w:numId w:val="2"/>
        </w:numPr>
        <w:spacing w:after="80"/>
      </w:pPr>
      <w:r>
        <w:t xml:space="preserve">Pour un audit / référent sécurité : parcourir la checklist sur chaque dépôt concerné, cocher chaque setting activé et vérifié. Un dépôt conforme a les cinq cases cochées. La checklist est le point de contrôle unique.</w:t>
      </w:r>
    </w:p>
    <w:p>
      <w:pPr>
        <w:pStyle w:val="ListParagraph"/>
        <w:numPr>
          <w:ilvl w:val="0"/>
          <w:numId w:val="2"/>
        </w:numPr>
        <w:spacing w:after="80"/>
      </w:pPr>
      <w:r>
        <w:t xml:space="preserve">Pour une squad : si un setting n’est pas activé, suivre l’atelier d’origine indiqué (qui en porte la pédagogie et la mise en place). La checklist dit QUOI ; l’atelier dit POURQUOI et COMMENT.</w:t>
      </w:r>
    </w:p>
    <w:p>
      <w:pPr>
        <w:pStyle w:val="ListParagraph"/>
        <w:numPr>
          <w:ilvl w:val="0"/>
          <w:numId w:val="2"/>
        </w:numPr>
        <w:spacing w:after="80"/>
      </w:pPr>
      <w:r>
        <w:t xml:space="preserve">Cohérence avec le reste du corpus : ces cinq settings ne sont pas des nouveautés — ils sont déjà construits et expliqués dans les axes Hygiène (H03) et Review (Q02). Cette checklist les réunit comme exigences de conformité, sans rien dupliquer ni contredire.</w:t>
      </w:r>
    </w:p>
    <w:p>
      <w:pPr>
        <w:pStyle w:val="ListParagraph"/>
        <w:numPr>
          <w:ilvl w:val="0"/>
          <w:numId w:val="2"/>
        </w:numPr>
        <w:spacing w:after="80"/>
      </w:pPr>
      <w:r>
        <w:t xml:space="preserve">Caractère non négociable : en contexte bancaire, ces settings relèvent de la conformité (séparation des responsabilités, auditabilité, intégrité de l’historique). Ils ne sont pas optionnels — d’où le format checklist, distinct de l’accompagnement pédagogique des ateliers.</w:t>
      </w:r>
    </w:p>
    <w:p>
      <w:pPr>
        <w:pStyle w:val="Heading2"/>
      </w:pPr>
      <w:r>
        <w:t xml:space="preserve">Note d’architecture (pour le référentiel)</w:t>
      </w:r>
    </w:p>
    <w:p>
      <w:pPr>
        <w:spacing w:after="120"/>
      </w:pPr>
      <w:r>
        <w:t xml:space="preserve">Cet axe X est entièrement composé de renvois vers H03 et Q02 — il n’ajoute aucun setting nouveau, seulement une vue « conformité » sur des settings déjà couverts. Deux options au niveau du moteur de maturité, à arbitrer : (1) garder X comme axe de conformité distinct (une vue audit transverse sur des settings traités ailleurs), ce qui a du sens si la conformité doit être pilotée séparément ; ou (2) supprimer l’axe X et intégrer cette checklist comme une vue de synthèse générée à partir des settings H03/Q02. Dans les deux cas, le matériel pédagogique reste unique (H03, Q02) et cette checklist en est la synthèse conformité. Recommandation : garder la checklist comme artefact (utile à l’audit), et trancher au niveau du moteur si X reste un axe scoré ou devient une simple vue.</w:t>
      </w:r>
    </w:p>
    <w:p>
      <w:pPr>
        <w:pStyle w:val="Heading2"/>
      </w:pPr>
      <w:r>
        <w:t xml:space="preserve">Critère de réussite</w:t>
      </w:r>
    </w:p>
    <w:p>
      <w:pPr>
        <w:spacing w:after="120"/>
      </w:pPr>
      <w:r>
        <w:t xml:space="preserve">Les cinq settings de sécurité obligatoires (branch protection, interdiction du force push, prevent approval by author, prevent approvals by committers, reset approvals on push) sont réunis en une checklist de conformité unique, format audit, renvoyant chacun à l’atelier d’origine qui en porte la pédagogie (H03, Q02) — sans dupliquer le matériel. Un dépôt est conforme quand les cinq cases sont cochées (settings activés et vérifiés). Les cinq doublons signalés par le coach sont ainsi transformés en un seul artefact opérationnel utile à la sécurité et à l’audit. Avec ce document, l’axe X (#201-205) est traité — et les 205 actions du référentiel sont complètes.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2026-06-26T14:04:43.802Z</dcterms:created>
  <dcterms:modified xsi:type="dcterms:W3CDTF">2026-06-26T14:04:43.802Z</dcterms:modified>
</cp:coreProperties>
</file>

<file path=docProps/custom.xml><?xml version="1.0" encoding="utf-8"?>
<Properties xmlns="http://schemas.openxmlformats.org/officeDocument/2006/custom-properties" xmlns:vt="http://schemas.openxmlformats.org/officeDocument/2006/docPropsVTypes"/>
</file>