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Quick-win #95 — Un .gitignore adapté à notre stack</w:t>
      </w:r>
    </w:p>
    <w:p>
      <w:pPr>
        <w:spacing w:after="160"/>
      </w:pPr>
      <w:r>
        <w:rPr>
          <w:i/>
          <w:iCs/>
        </w:rPr>
        <w:t xml:space="preserve">Axe Hygiène &amp; Gouvernance — Question H04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Quick-win / Setup (création rapide d’un fichier, pas un atelier long)</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Hygiène &amp; Gouvernance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(H04)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 repo contient-il les fichiers essentiels (README, .gitignore, CHANGELOG)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Pas de .gitignore : poser le fichier tout de suite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10-15 min (création + ajustement)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ou un Dev en partage d’écran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Fichiers standards (.gitignore présent et adapté)</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Connaître la stack technique du projet</w:t>
            </w:r>
          </w:p>
        </w:tc>
      </w:tr>
    </w:tbl>
    <w:p>
      <w:pPr>
        <w:pStyle w:val="Heading2"/>
      </w:pPr>
      <w:r>
        <w:t xml:space="preserve">Pourquoi c’est un quick-win</w:t>
      </w:r>
    </w:p>
    <w:p>
      <w:pPr>
        <w:spacing w:after="120"/>
      </w:pPr>
      <w:r>
        <w:t xml:space="preserve">Créer un .gitignore adapté à une stack est rapide : on part d’un modèle éprouvé pour la technologie du projet et on l’ajuste. Pas besoin d’un atelier d’une heure. Mais il y a un petit POURQUOI à poser, parce qu’un .gitignore mal compris fait des dégâts discrets : versionner ce qu’il ne faut pas (secrets, fichiers lourds générés) ou, à l’inverse, ignorer ce qu’il faut garder (les lock files, cf. #88). Ce quick-win pose le fichier ET la compréhension de ce qu’on ne versionne pas — et pourquoi.</w:t>
      </w:r>
    </w:p>
    <w:p>
      <w:pPr>
        <w:pStyle w:val="Heading2"/>
      </w:pPr>
      <w:r>
        <w:t xml:space="preserve">Ce qu’un .gitignore sert à NE PAS versionner</w:t>
      </w:r>
    </w:p>
    <w:p>
      <w:pPr>
        <w:spacing w:after="120"/>
      </w:pPr>
      <w:r>
        <w:t xml:space="preserve">Le .gitignore liste ce que Git doit ignorer. Trois grandes familles, pour trois bonnes raisons :</w:t>
      </w:r>
    </w:p>
    <w:p>
      <w:pPr>
        <w:pStyle w:val="ListParagraph"/>
        <w:numPr>
          <w:ilvl w:val="0"/>
          <w:numId w:val="2"/>
        </w:numPr>
        <w:spacing w:after="80"/>
      </w:pPr>
      <w:r>
        <w:rPr>
          <w:b/>
          <w:bCs/>
        </w:rPr>
        <w:t xml:space="preserve">Les secrets et la configuration locale : </w:t>
      </w:r>
      <w:r>
        <w:t xml:space="preserve">fichiers .env, clés, mots de passe, config propre à une machine. On ne les versionne JAMAIS — un secret commité est un secret fuité (et reste dans l’historique). C’est la famille la plus critique.</w:t>
      </w:r>
    </w:p>
    <w:p>
      <w:pPr>
        <w:pStyle w:val="ListParagraph"/>
        <w:numPr>
          <w:ilvl w:val="0"/>
          <w:numId w:val="2"/>
        </w:numPr>
        <w:spacing w:after="80"/>
      </w:pPr>
      <w:r>
        <w:rPr>
          <w:b/>
          <w:bCs/>
        </w:rPr>
        <w:t xml:space="preserve">Les dépendances installées et artefacts générés : </w:t>
      </w:r>
      <w:r>
        <w:t xml:space="preserve">node_modules, dossiers de build, binaires compilés. Inutile et lourd à versionner : ils se régénèrent depuis le code et les lock files (cf. #85). Les versionner gonfle le repo pour rien.</w:t>
      </w:r>
    </w:p>
    <w:p>
      <w:pPr>
        <w:pStyle w:val="ListParagraph"/>
        <w:numPr>
          <w:ilvl w:val="0"/>
          <w:numId w:val="2"/>
        </w:numPr>
        <w:spacing w:after="80"/>
      </w:pPr>
      <w:r>
        <w:rPr>
          <w:b/>
          <w:bCs/>
        </w:rPr>
        <w:t xml:space="preserve">Le bruit d’environnement : </w:t>
      </w:r>
      <w:r>
        <w:t xml:space="preserve">fichiers d’IDE, fichiers temporaires du système (.DS_Store, fichiers Thumbs). Ils n’ont rien à faire dans le repo partagé et polluent les diffs.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Le piège à éviter (lien avec #88)</w:t>
            </w:r>
          </w:p>
          <w:p>
            <w:pPr>
              <w:spacing w:after="60"/>
            </w:pPr>
            <w:r>
              <w:t xml:space="preserve">Un .gitignore trop large peut attraper ce qu’on veut GARDER — typiquement les lock files (cf. quick-win #88). Une règle comme *.lock peut faire disparaître Cargo.lock ou poetry.lock du dépôt. En posant le .gitignore, on vérifie qu’il ignore le superflu SANS exclure les fichiers essentiels (lock files notamment). Ignorer trop est aussi dangereux qu’ignorer trop peu.</w:t>
            </w:r>
          </w:p>
        </w:tc>
      </w:tr>
    </w:tbl>
    <w:p>
      <w:pPr>
        <w:pStyle w:val="Heading2"/>
      </w:pPr>
      <w:r>
        <w:t xml:space="preserve">Le geste, étape par étape</w:t>
      </w:r>
    </w:p>
    <w:p>
      <w:pPr>
        <w:pStyle w:val="ListParagraph"/>
        <w:numPr>
          <w:ilvl w:val="0"/>
          <w:numId w:val="3"/>
        </w:numPr>
        <w:spacing w:after="80"/>
      </w:pPr>
      <w:r>
        <w:t xml:space="preserve">Identifier la stack du projet (Node, Python, Java, Go… souvent plusieurs).</w:t>
      </w:r>
    </w:p>
    <w:p>
      <w:pPr>
        <w:pStyle w:val="ListParagraph"/>
        <w:numPr>
          <w:ilvl w:val="0"/>
          <w:numId w:val="3"/>
        </w:numPr>
        <w:spacing w:after="80"/>
      </w:pPr>
      <w:r>
        <w:t xml:space="preserve">Partir d’un modèle .gitignore éprouvé pour chaque techno présente (les modèles standards couvrent l’essentiel).</w:t>
      </w:r>
    </w:p>
    <w:p>
      <w:pPr>
        <w:pStyle w:val="ListParagraph"/>
        <w:numPr>
          <w:ilvl w:val="0"/>
          <w:numId w:val="3"/>
        </w:numPr>
        <w:spacing w:after="80"/>
      </w:pPr>
      <w:r>
        <w:t xml:space="preserve">Ajouter les spécificités du projet : fichiers de config locale, dossiers de sortie particuliers.</w:t>
      </w:r>
    </w:p>
    <w:p>
      <w:pPr>
        <w:pStyle w:val="ListParagraph"/>
        <w:numPr>
          <w:ilvl w:val="0"/>
          <w:numId w:val="3"/>
        </w:numPr>
        <w:spacing w:after="80"/>
      </w:pPr>
      <w:r>
        <w:t xml:space="preserve">Vérifier qu’aucun fichier essentiel n’est exclu par erreur — en particulier les lock files (cf. #88).</w:t>
      </w:r>
    </w:p>
    <w:p>
      <w:pPr>
        <w:pStyle w:val="ListParagraph"/>
        <w:numPr>
          <w:ilvl w:val="0"/>
          <w:numId w:val="3"/>
        </w:numPr>
        <w:spacing w:after="80"/>
      </w:pPr>
      <w:r>
        <w:t xml:space="preserve">Commiter le .gitignore. Si des fichiers à ignorer étaient déjà versionnés, les retirer du suivi.</w:t>
      </w:r>
    </w:p>
    <w:p>
      <w:pPr>
        <w:pStyle w:val="Heading2"/>
      </w:pPr>
      <w:r>
        <w:t xml:space="preserve">Livrable</w:t>
      </w:r>
    </w:p>
    <w:p>
      <w:pPr>
        <w:pStyle w:val="ListParagraph"/>
        <w:numPr>
          <w:ilvl w:val="0"/>
          <w:numId w:val="2"/>
        </w:numPr>
        <w:spacing w:after="80"/>
      </w:pPr>
      <w:r>
        <w:t xml:space="preserve">Un .gitignore adapté à la stack du projet, commité sur le repo réel.</w:t>
      </w:r>
    </w:p>
    <w:p>
      <w:pPr>
        <w:pStyle w:val="ListParagraph"/>
        <w:numPr>
          <w:ilvl w:val="0"/>
          <w:numId w:val="2"/>
        </w:numPr>
        <w:spacing w:after="80"/>
      </w:pPr>
      <w:r>
        <w:t xml:space="preserve">Les trois familles couvertes : secrets/config locale, dépendances/artefacts, bruit d’environnement.</w:t>
      </w:r>
    </w:p>
    <w:p>
      <w:pPr>
        <w:pStyle w:val="ListParagraph"/>
        <w:numPr>
          <w:ilvl w:val="0"/>
          <w:numId w:val="2"/>
        </w:numPr>
        <w:spacing w:after="80"/>
      </w:pPr>
      <w:r>
        <w:t xml:space="preserve">La vérification qu’aucun fichier essentiel (lock files notamment) n’est exclu par erreur.</w:t>
      </w:r>
    </w:p>
    <w:p>
      <w:pPr>
        <w:pStyle w:val="Heading2"/>
      </w:pPr>
      <w:r>
        <w:t xml:space="preserve">Articulation H04</w:t>
      </w:r>
    </w:p>
    <w:p>
      <w:pPr>
        <w:spacing w:after="120"/>
      </w:pPr>
      <w:r>
        <w:t xml:space="preserve">Avec le README (#94) et le .gitignore, deux des trois fichiers essentiels de H04 sont posés. Reste le CHANGELOG : #97 le crée à la main avec son processus, #98 l’automatise (renvoi au #72). Le #96 enrichira d’abord le README.</w:t>
      </w:r>
    </w:p>
    <w:p>
      <w:pPr>
        <w:pStyle w:val="Heading2"/>
      </w:pPr>
      <w:r>
        <w:t xml:space="preserve">Critère de réussite</w:t>
      </w:r>
    </w:p>
    <w:p>
      <w:pPr>
        <w:spacing w:after="120"/>
      </w:pPr>
      <w:r>
        <w:t xml:space="preserve">Le repo a un .gitignore adapté à sa stack, commité : il ignore les secrets et la config locale, les dépendances et artefacts générés, et le bruit d’environnement — sans exclure aucun fichier essentiel, lock files compris. La squad a compris ce qu’on ne versionne pas et pourquoi. Pour quelques minutes, un des trois fichiers essentiels de H04 est posé, et le repo est protégé contre le versionnement accidentel de secrets ou de fichiers lourds.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2026-06-26T09:53:37.493Z</dcterms:created>
  <dcterms:modified xsi:type="dcterms:W3CDTF">2026-06-26T09:53:37.493Z</dcterms:modified>
</cp:coreProperties>
</file>

<file path=docProps/custom.xml><?xml version="1.0" encoding="utf-8"?>
<Properties xmlns="http://schemas.openxmlformats.org/officeDocument/2006/custom-properties" xmlns:vt="http://schemas.openxmlformats.org/officeDocument/2006/docPropsVTypes"/>
</file>