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color w:val="0E3B3D"/>
        </w:rPr>
        <w:t>Patient-impact decision checklist</w:t>
      </w:r>
    </w:p>
    <w:p>
      <w:r>
        <w:rPr>
          <w:color w:val="0F7C74"/>
        </w:rPr>
        <w:t>Bridging the Gap: From Innovation to Patient Impact · For every “Not yet”: name the owner and the condition for proceeding.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c>
          <w:tcPr>
            <w:tcW w:type="dxa" w:w="1361"/>
            <w:shd w:val="clear" w:color="auto" w:fill="0E3B3D"/>
          </w:tcPr>
          <w:p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041"/>
            <w:shd w:val="clear" w:color="auto" w:fill="0E3B3D"/>
          </w:tcPr>
          <w:p>
            <w:r/>
            <w:r>
              <w:rPr>
                <w:b/>
                <w:color w:val="FFFFFF"/>
              </w:rPr>
              <w:t>Patient’s question</w:t>
            </w:r>
          </w:p>
        </w:tc>
        <w:tc>
          <w:tcPr>
            <w:tcW w:type="dxa" w:w="4649"/>
            <w:shd w:val="clear" w:color="auto" w:fill="0E3B3D"/>
          </w:tcPr>
          <w:p>
            <w:r/>
            <w:r>
              <w:rPr>
                <w:b/>
                <w:color w:val="FFFFFF"/>
              </w:rPr>
              <w:t>Ask before proceeding</w:t>
            </w:r>
          </w:p>
        </w:tc>
        <w:tc>
          <w:tcPr>
            <w:tcW w:type="dxa" w:w="3061"/>
            <w:shd w:val="clear" w:color="auto" w:fill="0E3B3D"/>
          </w:tcPr>
          <w:p>
            <w:r/>
            <w:r>
              <w:rPr>
                <w:b/>
                <w:color w:val="FFFFFF"/>
              </w:rPr>
              <w:t>Evidence to see</w:t>
            </w:r>
          </w:p>
        </w:tc>
        <w:tc>
          <w:tcPr>
            <w:tcW w:type="dxa" w:w="1701"/>
            <w:shd w:val="clear" w:color="auto" w:fill="0E3B3D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494"/>
            <w:shd w:val="clear" w:color="auto" w:fill="0E3B3D"/>
          </w:tcPr>
          <w:p>
            <w:r/>
            <w:r>
              <w:rPr>
                <w:b/>
                <w:color w:val="FFFFFF"/>
              </w:rPr>
              <w:t>Go?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color w:val="0F7C74"/>
              </w:rPr>
              <w:t>Need</w:t>
            </w:r>
          </w:p>
        </w:tc>
        <w:tc>
          <w:tcPr>
            <w:tcW w:type="dxa" w:w="2041"/>
          </w:tcPr>
          <w:p>
            <w:r>
              <w:rPr>
                <w:i/>
              </w:rPr>
              <w:t>“Will it help me?”</w:t>
            </w:r>
          </w:p>
        </w:tc>
        <w:tc>
          <w:tcPr>
            <w:tcW w:type="dxa" w:w="4649"/>
          </w:tcPr>
          <w:p>
            <w:r>
              <w:t>Is the need validated with patients and clinicians? Is the need statement solution-neutral?</w:t>
            </w:r>
          </w:p>
        </w:tc>
        <w:tc>
          <w:tcPr>
            <w:tcW w:type="dxa" w:w="3061"/>
          </w:tcPr>
          <w:p>
            <w:r>
              <w:t>Need statement; observation notes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494"/>
          </w:tcPr>
          <w:p>
            <w:r>
              <w:t>☐ Yes</w:t>
              <w:br/>
              <w:t>☐ Not yet — condition: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color w:val="0F7C74"/>
              </w:rPr>
              <w:t>Evidence</w:t>
            </w:r>
          </w:p>
        </w:tc>
        <w:tc>
          <w:tcPr>
            <w:tcW w:type="dxa" w:w="2041"/>
          </w:tcPr>
          <w:p>
            <w:r>
              <w:rPr>
                <w:i/>
              </w:rPr>
              <w:t>“Is there proof, for people like me?”</w:t>
            </w:r>
          </w:p>
        </w:tc>
        <w:tc>
          <w:tcPr>
            <w:tcW w:type="dxa" w:w="4649"/>
          </w:tcPr>
          <w:p>
            <w:r>
              <w:t>Does the evidence match the exact claim, users and device version? What is demonstrated, reported, planned?</w:t>
            </w:r>
          </w:p>
        </w:tc>
        <w:tc>
          <w:tcPr>
            <w:tcW w:type="dxa" w:w="3061"/>
          </w:tcPr>
          <w:p>
            <w:r>
              <w:t>Protocol; subgroup results; failure modes; version log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494"/>
          </w:tcPr>
          <w:p>
            <w:r>
              <w:t>☐ Yes</w:t>
              <w:br/>
              <w:t>☐ Not yet — condition: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color w:val="0F7C74"/>
              </w:rPr>
              <w:t>People</w:t>
            </w:r>
          </w:p>
        </w:tc>
        <w:tc>
          <w:tcPr>
            <w:tcW w:type="dxa" w:w="2041"/>
          </w:tcPr>
          <w:p>
            <w:r>
              <w:rPr>
                <w:i/>
              </w:rPr>
              <w:t>“Can I freely refuse?”</w:t>
            </w:r>
          </w:p>
        </w:tc>
        <w:tc>
          <w:tcPr>
            <w:tcW w:type="dxa" w:w="4649"/>
          </w:tcPr>
          <w:p>
            <w:r>
              <w:t>Is consent independent of any dependent relationship, in the person’s language? Are conflicts disclosed and managed?</w:t>
            </w:r>
          </w:p>
        </w:tc>
        <w:tc>
          <w:tcPr>
            <w:tcW w:type="dxa" w:w="3061"/>
          </w:tcPr>
          <w:p>
            <w:r>
              <w:t>Consent form and process; COI management plan; CTRI entry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494"/>
          </w:tcPr>
          <w:p>
            <w:r>
              <w:t>☐ Yes</w:t>
              <w:br/>
              <w:t>☐ Not yet — condition: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color w:val="0F7C74"/>
              </w:rPr>
              <w:t>Permission</w:t>
            </w:r>
          </w:p>
        </w:tc>
        <w:tc>
          <w:tcPr>
            <w:tcW w:type="dxa" w:w="2041"/>
          </w:tcPr>
          <w:p>
            <w:r>
              <w:rPr>
                <w:i/>
              </w:rPr>
              <w:t>“Is it allowed for this use?”</w:t>
            </w:r>
          </w:p>
        </w:tc>
        <w:tc>
          <w:tcPr>
            <w:tcW w:type="dxa" w:w="4649"/>
          </w:tcPr>
          <w:p>
            <w:r>
              <w:t>Which CDSCO permission covers this use: test licence (MD-13), clinical investigation (MD-23), manufacturing licence?</w:t>
            </w:r>
          </w:p>
        </w:tc>
        <w:tc>
          <w:tcPr>
            <w:tcW w:type="dxa" w:w="3061"/>
          </w:tcPr>
          <w:p>
            <w:r>
              <w:t>Class; licence or permission; registered ethics committee approval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494"/>
          </w:tcPr>
          <w:p>
            <w:r>
              <w:t>☐ Yes</w:t>
              <w:br/>
              <w:t>☐ Not yet — condition: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color w:val="0F7C74"/>
              </w:rPr>
              <w:t>Access</w:t>
            </w:r>
          </w:p>
        </w:tc>
        <w:tc>
          <w:tcPr>
            <w:tcW w:type="dxa" w:w="2041"/>
          </w:tcPr>
          <w:p>
            <w:r>
              <w:rPr>
                <w:i/>
              </w:rPr>
              <w:t>“Can I afford and use it?”</w:t>
            </w:r>
          </w:p>
        </w:tc>
        <w:tc>
          <w:tcPr>
            <w:tcW w:type="dxa" w:w="4649"/>
          </w:tcPr>
          <w:p>
            <w:r>
              <w:t>What is the total cost of use? Who is excluded by its demands (vision, dexterity, language, power, phone)?</w:t>
            </w:r>
          </w:p>
        </w:tc>
        <w:tc>
          <w:tcPr>
            <w:tcW w:type="dxa" w:w="3061"/>
          </w:tcPr>
          <w:p>
            <w:r>
              <w:t>Cost of a full course; inclusive-design audit; service plan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494"/>
          </w:tcPr>
          <w:p>
            <w:r>
              <w:t>☐ Yes</w:t>
              <w:br/>
              <w:t>☐ Not yet — condition: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color w:val="0F7C74"/>
              </w:rPr>
              <w:t>Safety</w:t>
            </w:r>
          </w:p>
        </w:tc>
        <w:tc>
          <w:tcPr>
            <w:tcW w:type="dxa" w:w="2041"/>
          </w:tcPr>
          <w:p>
            <w:r>
              <w:rPr>
                <w:i/>
              </w:rPr>
              <w:t>“Who answers later?”</w:t>
            </w:r>
          </w:p>
        </w:tc>
        <w:tc>
          <w:tcPr>
            <w:tcW w:type="dxa" w:w="4649"/>
          </w:tcPr>
          <w:p>
            <w:r>
              <w:t>Who records, reports (MvPI) and acts on harm? How are updates validated, released and rolled back?</w:t>
            </w:r>
          </w:p>
        </w:tc>
        <w:tc>
          <w:tcPr>
            <w:tcW w:type="dxa" w:w="3061"/>
          </w:tcPr>
          <w:p>
            <w:r>
              <w:t>Complaint log; MvPI route; change-control and rollback plan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494"/>
          </w:tcPr>
          <w:p>
            <w:r>
              <w:t>☐ Yes</w:t>
              <w:br/>
              <w:t>☐ Not yet — condition:</w:t>
            </w:r>
          </w:p>
        </w:tc>
      </w:tr>
    </w:tbl>
    <w:p/>
    <w:p>
      <w:r>
        <w:rPr>
          <w:b/>
        </w:rPr>
        <w:t xml:space="preserve">My commitment  </w:t>
      </w:r>
      <w:r>
        <w:t>Before ____________________, I will ______________________________.  Owner: ______________.  I proceed only if ______________________________.</w:t>
      </w:r>
    </w:p>
    <w:p>
      <w:r>
        <w:rPr>
          <w:b/>
        </w:rPr>
        <w:t xml:space="preserve">Label every claim: </w:t>
      </w:r>
      <w:r>
        <w:t>Demonstrated · Reported, preliminary · Planned · Not established.   India anchors: MDR-2017 (MD-13; MD-22/23; MD-5/MD-9) · ethics committee registered with CDSCO · CTRI · ICMR 2017 · MvPI 1800-180-3024 · UCMPMD 2024 · DPDP Rules 2025.</w:t>
      </w:r>
    </w:p>
    <w:p>
      <w:r>
        <w:rPr>
          <w:color w:val="6E7F7D"/>
          <w:sz w:val="16"/>
        </w:rPr>
        <w:t>Workshop synthesis adapted from Stanford Biodesign, Harvard MRCT Center, Cambridge Engineering Design Centre, IDEAL-D, Declaration of Helsinki (2024), ICMR (2017) and CDSCO guidance. Not a regulatory checklist or certification. Checked 7 October 2026.</w:t>
      </w:r>
    </w:p>
    <w:sectPr w:rsidR="00FC693F" w:rsidRPr="0006063C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