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Validación externa de SEEA–AI frente a las cuentas SEEA–EA del Murray–Darling</w:t>
      </w:r>
    </w:p>
    <w:p>
      <w:pPr>
        <w:jc w:val="both"/>
      </w:pPr>
      <w:r>
        <w:t>Contraste por unidad entre las estimaciones de SEEA–AI (100% teledetección, Sentinel-2 / MODIS / NASA-ORNL, verano 2018-19) y las cuentas publicadas por Smith et al. (2025), Ecosystem Services 74, 101741, para la cuenca del Murray–Darling (límite oficial MDBA, Water Act 2007; ~1,06 M km²; año contable 2018-19). La comparación es por unidad (por hectárea), no por totales.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2160"/>
            <w:shd w:val="clear" w:color="auto" w:fill="D5E8F0"/>
          </w:tcPr>
          <w:p>
            <w:r>
              <w:rPr>
                <w:b/>
                <w:sz w:val="18"/>
              </w:rPr>
              <w:t>Servicio / variable</w:t>
            </w:r>
          </w:p>
        </w:tc>
        <w:tc>
          <w:tcPr>
            <w:tcW w:type="dxa" w:w="2160"/>
            <w:shd w:val="clear" w:color="auto" w:fill="D5E8F0"/>
          </w:tcPr>
          <w:p>
            <w:r>
              <w:rPr>
                <w:b/>
                <w:sz w:val="18"/>
              </w:rPr>
              <w:t>SEEA–AI (teledetección)</w:t>
            </w:r>
          </w:p>
        </w:tc>
        <w:tc>
          <w:tcPr>
            <w:tcW w:type="dxa" w:w="2160"/>
            <w:shd w:val="clear" w:color="auto" w:fill="D5E8F0"/>
          </w:tcPr>
          <w:p>
            <w:r>
              <w:rPr>
                <w:b/>
                <w:sz w:val="18"/>
              </w:rPr>
              <w:t>Smith et al. 2025</w:t>
            </w:r>
          </w:p>
        </w:tc>
        <w:tc>
          <w:tcPr>
            <w:tcW w:type="dxa" w:w="2160"/>
            <w:shd w:val="clear" w:color="auto" w:fill="D5E8F0"/>
          </w:tcPr>
          <w:p>
            <w:r>
              <w:rPr>
                <w:b/>
                <w:sz w:val="18"/>
              </w:rPr>
              <w:t>Concordancia / nota</w:t>
            </w:r>
          </w:p>
        </w:tc>
      </w:tr>
      <w:tr>
        <w:tc>
          <w:tcPr>
            <w:tcW w:type="dxa" w:w="2160"/>
          </w:tcPr>
          <w:p>
            <w:r>
              <w:rPr>
                <w:b/>
                <w:sz w:val="18"/>
              </w:rPr>
              <w:t>Área de la cuenca</w:t>
            </w:r>
          </w:p>
        </w:tc>
        <w:tc>
          <w:tcPr>
            <w:tcW w:type="dxa" w:w="2160"/>
          </w:tcPr>
          <w:p>
            <w:r>
              <w:rPr>
                <w:b w:val="0"/>
                <w:sz w:val="18"/>
              </w:rPr>
              <w:t>1.059.394 km²</w:t>
            </w:r>
          </w:p>
        </w:tc>
        <w:tc>
          <w:tcPr>
            <w:tcW w:type="dxa" w:w="2160"/>
          </w:tcPr>
          <w:p>
            <w:r>
              <w:rPr>
                <w:b w:val="0"/>
                <w:sz w:val="18"/>
              </w:rPr>
              <w:t>≈ 1,06 M km²</w:t>
            </w:r>
          </w:p>
        </w:tc>
        <w:tc>
          <w:tcPr>
            <w:tcW w:type="dxa" w:w="2160"/>
          </w:tcPr>
          <w:p>
            <w:r>
              <w:rPr>
                <w:b w:val="0"/>
                <w:sz w:val="18"/>
              </w:rPr>
              <w:t>✓ Contorno oficial idéntico (Water Act 2007)</w:t>
            </w:r>
          </w:p>
        </w:tc>
      </w:tr>
      <w:tr>
        <w:tc>
          <w:tcPr>
            <w:tcW w:type="dxa" w:w="2160"/>
          </w:tcPr>
          <w:p>
            <w:r>
              <w:rPr>
                <w:b/>
                <w:sz w:val="18"/>
              </w:rPr>
              <w:t>Secuestro de carbono</w:t>
            </w:r>
          </w:p>
        </w:tc>
        <w:tc>
          <w:tcPr>
            <w:tcW w:type="dxa" w:w="2160"/>
          </w:tcPr>
          <w:p>
            <w:r>
              <w:rPr>
                <w:b w:val="0"/>
                <w:sz w:val="18"/>
              </w:rPr>
              <w:t>12,6 tCO₂/ha·año (NPP MODIS)</w:t>
            </w:r>
          </w:p>
        </w:tc>
        <w:tc>
          <w:tcPr>
            <w:tcW w:type="dxa" w:w="2160"/>
          </w:tcPr>
          <w:p>
            <w:r>
              <w:rPr>
                <w:b w:val="0"/>
                <w:sz w:val="18"/>
              </w:rPr>
              <w:t>9,9 tCO₂/ha·año</w:t>
            </w:r>
          </w:p>
        </w:tc>
        <w:tc>
          <w:tcPr>
            <w:tcW w:type="dxa" w:w="2160"/>
          </w:tcPr>
          <w:p>
            <w:r>
              <w:rPr>
                <w:b w:val="0"/>
                <w:sz w:val="18"/>
              </w:rPr>
              <w:t>Mismo orden; EO +27 % — esperado (NPP sobreestima el balance neto, no resta respiración)</w:t>
            </w:r>
          </w:p>
        </w:tc>
      </w:tr>
      <w:tr>
        <w:tc>
          <w:tcPr>
            <w:tcW w:type="dxa" w:w="2160"/>
          </w:tcPr>
          <w:p>
            <w:r>
              <w:rPr>
                <w:b/>
                <w:sz w:val="18"/>
              </w:rPr>
              <w:t>Stock de carbono</w:t>
            </w:r>
          </w:p>
        </w:tc>
        <w:tc>
          <w:tcPr>
            <w:tcW w:type="dxa" w:w="2160"/>
          </w:tcPr>
          <w:p>
            <w:r>
              <w:rPr>
                <w:b w:val="0"/>
                <w:sz w:val="18"/>
              </w:rPr>
              <w:t>48,0 tCO₂/ha (biomasa aérea)</w:t>
            </w:r>
          </w:p>
        </w:tc>
        <w:tc>
          <w:tcPr>
            <w:tcW w:type="dxa" w:w="2160"/>
          </w:tcPr>
          <w:p>
            <w:r>
              <w:rPr>
                <w:b w:val="0"/>
                <w:sz w:val="18"/>
              </w:rPr>
              <w:t>346 tCO₂/ha (incl. suelo)</w:t>
            </w:r>
          </w:p>
        </w:tc>
        <w:tc>
          <w:tcPr>
            <w:tcW w:type="dxa" w:w="2160"/>
          </w:tcPr>
          <w:p>
            <w:r>
              <w:rPr>
                <w:b w:val="0"/>
                <w:sz w:val="18"/>
              </w:rPr>
              <w:t>Componente comparable: el stock de Smith está dominado por carbono de suelo; EO mide biomasa leñosa</w:t>
            </w:r>
          </w:p>
        </w:tc>
      </w:tr>
      <w:tr>
        <w:tc>
          <w:tcPr>
            <w:tcW w:type="dxa" w:w="2160"/>
          </w:tcPr>
          <w:p>
            <w:r>
              <w:rPr>
                <w:b/>
                <w:sz w:val="18"/>
              </w:rPr>
              <w:t>Retención / erosión de sedimentos</w:t>
            </w:r>
          </w:p>
        </w:tc>
        <w:tc>
          <w:tcPr>
            <w:tcW w:type="dxa" w:w="2160"/>
          </w:tcPr>
          <w:p>
            <w:r>
              <w:rPr>
                <w:b w:val="0"/>
                <w:sz w:val="18"/>
              </w:rPr>
              <w:t>0,63 t/ha·año (proxy RUSLE, pérdida bruta)</w:t>
            </w:r>
          </w:p>
        </w:tc>
        <w:tc>
          <w:tcPr>
            <w:tcW w:type="dxa" w:w="2160"/>
          </w:tcPr>
          <w:p>
            <w:r>
              <w:rPr>
                <w:b w:val="0"/>
                <w:sz w:val="18"/>
              </w:rPr>
              <w:t>0,47 t/ha·año (retención)</w:t>
            </w:r>
          </w:p>
        </w:tc>
        <w:tc>
          <w:tcPr>
            <w:tcW w:type="dxa" w:w="2160"/>
          </w:tcPr>
          <w:p>
            <w:r>
              <w:rPr>
                <w:b w:val="0"/>
                <w:sz w:val="18"/>
              </w:rPr>
              <w:t>Mismo orden de magnitud; conceptos distintos (pérdida bruta ≠ retención)</w:t>
            </w:r>
          </w:p>
        </w:tc>
      </w:tr>
      <w:tr>
        <w:tc>
          <w:tcPr>
            <w:tcW w:type="dxa" w:w="2160"/>
          </w:tcPr>
          <w:p>
            <w:r>
              <w:rPr>
                <w:b/>
                <w:sz w:val="18"/>
              </w:rPr>
              <w:t>Suministro de agua</w:t>
            </w:r>
          </w:p>
        </w:tc>
        <w:tc>
          <w:tcPr>
            <w:tcW w:type="dxa" w:w="2160"/>
          </w:tcPr>
          <w:p>
            <w:r>
              <w:rPr>
                <w:b w:val="0"/>
                <w:sz w:val="18"/>
              </w:rPr>
              <w:t>— (fuera de alcance EO)</w:t>
            </w:r>
          </w:p>
        </w:tc>
        <w:tc>
          <w:tcPr>
            <w:tcW w:type="dxa" w:w="2160"/>
          </w:tcPr>
          <w:p>
            <w:r>
              <w:rPr>
                <w:b w:val="0"/>
                <w:sz w:val="18"/>
              </w:rPr>
              <w:t>8,9 GL (8.894.954 ML)</w:t>
            </w:r>
          </w:p>
        </w:tc>
        <w:tc>
          <w:tcPr>
            <w:tcW w:type="dxa" w:w="2160"/>
          </w:tcPr>
          <w:p>
            <w:r>
              <w:rPr>
                <w:b w:val="0"/>
                <w:sz w:val="18"/>
              </w:rPr>
              <w:t>No derivable de NDVI; declarado fuera de alcance</w:t>
            </w:r>
          </w:p>
        </w:tc>
      </w:tr>
      <w:tr>
        <w:tc>
          <w:tcPr>
            <w:tcW w:type="dxa" w:w="2160"/>
          </w:tcPr>
          <w:p>
            <w:r>
              <w:rPr>
                <w:b/>
                <w:sz w:val="18"/>
              </w:rPr>
              <w:t>Pesca recreativa</w:t>
            </w:r>
          </w:p>
        </w:tc>
        <w:tc>
          <w:tcPr>
            <w:tcW w:type="dxa" w:w="2160"/>
          </w:tcPr>
          <w:p>
            <w:r>
              <w:rPr>
                <w:b w:val="0"/>
                <w:sz w:val="18"/>
              </w:rPr>
              <w:t>— (fuera de alcance EO)</w:t>
            </w:r>
          </w:p>
        </w:tc>
        <w:tc>
          <w:tcPr>
            <w:tcW w:type="dxa" w:w="2160"/>
          </w:tcPr>
          <w:p>
            <w:r>
              <w:rPr>
                <w:b w:val="0"/>
                <w:sz w:val="18"/>
              </w:rPr>
              <w:t>servicio no-SNA</w:t>
            </w:r>
          </w:p>
        </w:tc>
        <w:tc>
          <w:tcPr>
            <w:tcW w:type="dxa" w:w="2160"/>
          </w:tcPr>
          <w:p>
            <w:r>
              <w:rPr>
                <w:b w:val="0"/>
                <w:sz w:val="18"/>
              </w:rPr>
              <w:t>No derivable de NDVI; declarado fuera de alcance</w:t>
            </w:r>
          </w:p>
        </w:tc>
      </w:tr>
    </w:tbl>
    <w:p>
      <w:r>
        <w:rPr>
          <w:i/>
          <w:sz w:val="18"/>
        </w:rPr>
        <w:t>Tabla 1. Validación por unidad SEEA–AI ↔ Smith et al. (2025). Concordancia fuerte en el secuestro de carbono; stock y sedimentos coinciden en orden pero difieren en alcance/definición; agua y pesca quedan fuera del dominio teledetectable.</w:t>
      </w:r>
    </w:p>
    <w:p>
      <w:pPr>
        <w:pStyle w:val="Heading2"/>
      </w:pPr>
      <w:r>
        <w:t>Salidas EO complementarias (Murray–Darling 2018-19)</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320"/>
        <w:gridCol w:w="4320"/>
      </w:tblGrid>
      <w:tr>
        <w:tc>
          <w:tcPr>
            <w:tcW w:type="dxa" w:w="4320"/>
            <w:shd w:val="clear" w:color="auto" w:fill="D5E8F0"/>
          </w:tcPr>
          <w:p>
            <w:r>
              <w:rPr>
                <w:b/>
                <w:sz w:val="18"/>
              </w:rPr>
              <w:t>Indicador (teledetección)</w:t>
            </w:r>
          </w:p>
        </w:tc>
        <w:tc>
          <w:tcPr>
            <w:tcW w:type="dxa" w:w="4320"/>
            <w:shd w:val="clear" w:color="auto" w:fill="D5E8F0"/>
          </w:tcPr>
          <w:p>
            <w:r>
              <w:rPr>
                <w:b/>
                <w:sz w:val="18"/>
              </w:rPr>
              <w:t>Valor</w:t>
            </w:r>
          </w:p>
        </w:tc>
      </w:tr>
      <w:tr>
        <w:tc>
          <w:tcPr>
            <w:tcW w:type="dxa" w:w="4320"/>
          </w:tcPr>
          <w:p>
            <w:r>
              <w:rPr>
                <w:b w:val="0"/>
                <w:sz w:val="18"/>
              </w:rPr>
              <w:t>NDVI medio (Sentinel-2, verano)</w:t>
            </w:r>
          </w:p>
        </w:tc>
        <w:tc>
          <w:tcPr>
            <w:tcW w:type="dxa" w:w="4320"/>
          </w:tcPr>
          <w:p>
            <w:r>
              <w:rPr>
                <w:b w:val="0"/>
                <w:sz w:val="18"/>
              </w:rPr>
              <w:t>0,229</w:t>
            </w:r>
          </w:p>
        </w:tc>
      </w:tr>
      <w:tr>
        <w:tc>
          <w:tcPr>
            <w:tcW w:type="dxa" w:w="4320"/>
          </w:tcPr>
          <w:p>
            <w:r>
              <w:rPr>
                <w:b w:val="0"/>
                <w:sz w:val="18"/>
              </w:rPr>
              <w:t>Condición media C (semiárido, ref 0,70)</w:t>
            </w:r>
          </w:p>
        </w:tc>
        <w:tc>
          <w:tcPr>
            <w:tcW w:type="dxa" w:w="4320"/>
          </w:tcPr>
          <w:p>
            <w:r>
              <w:rPr>
                <w:b w:val="0"/>
                <w:sz w:val="18"/>
              </w:rPr>
              <w:t>0,274</w:t>
            </w:r>
          </w:p>
        </w:tc>
      </w:tr>
      <w:tr>
        <w:tc>
          <w:tcPr>
            <w:tcW w:type="dxa" w:w="4320"/>
          </w:tcPr>
          <w:p>
            <w:r>
              <w:rPr>
                <w:b w:val="0"/>
                <w:sz w:val="18"/>
              </w:rPr>
              <w:t>NDVI medio Landsat-8 (verano, verificación)</w:t>
            </w:r>
          </w:p>
        </w:tc>
        <w:tc>
          <w:tcPr>
            <w:tcW w:type="dxa" w:w="4320"/>
          </w:tcPr>
          <w:p>
            <w:r>
              <w:rPr>
                <w:b w:val="0"/>
                <w:sz w:val="18"/>
              </w:rPr>
              <w:t>0,277  (Δ S2−Landsat = −0,048)</w:t>
            </w:r>
          </w:p>
        </w:tc>
      </w:tr>
      <w:tr>
        <w:tc>
          <w:tcPr>
            <w:tcW w:type="dxa" w:w="4320"/>
          </w:tcPr>
          <w:p>
            <w:r>
              <w:rPr>
                <w:b w:val="0"/>
                <w:sz w:val="18"/>
              </w:rPr>
              <w:t>Pérdida de bosque Hansen 2018-19</w:t>
            </w:r>
          </w:p>
        </w:tc>
        <w:tc>
          <w:tcPr>
            <w:tcW w:type="dxa" w:w="4320"/>
          </w:tcPr>
          <w:p>
            <w:r>
              <w:rPr>
                <w:b w:val="0"/>
                <w:sz w:val="18"/>
              </w:rPr>
              <w:t>524.266 ha</w:t>
            </w:r>
          </w:p>
        </w:tc>
      </w:tr>
      <w:tr>
        <w:tc>
          <w:tcPr>
            <w:tcW w:type="dxa" w:w="4320"/>
          </w:tcPr>
          <w:p>
            <w:r>
              <w:rPr>
                <w:b w:val="0"/>
                <w:sz w:val="18"/>
              </w:rPr>
              <w:t>Área quemada MODIS 2018-19</w:t>
            </w:r>
          </w:p>
        </w:tc>
        <w:tc>
          <w:tcPr>
            <w:tcW w:type="dxa" w:w="4320"/>
          </w:tcPr>
          <w:p>
            <w:r>
              <w:rPr>
                <w:b w:val="0"/>
                <w:sz w:val="18"/>
              </w:rPr>
              <w:t>193.105 ha</w:t>
            </w:r>
          </w:p>
        </w:tc>
      </w:tr>
      <w:tr>
        <w:tc>
          <w:tcPr>
            <w:tcW w:type="dxa" w:w="4320"/>
          </w:tcPr>
          <w:p>
            <w:r>
              <w:rPr>
                <w:b w:val="0"/>
                <w:sz w:val="18"/>
              </w:rPr>
              <w:t>Escenas Sentinel-2 procesadas</w:t>
            </w:r>
          </w:p>
        </w:tc>
        <w:tc>
          <w:tcPr>
            <w:tcW w:type="dxa" w:w="4320"/>
          </w:tcPr>
          <w:p>
            <w:r>
              <w:rPr>
                <w:b w:val="0"/>
                <w:sz w:val="18"/>
              </w:rPr>
              <w:t>3.354</w:t>
            </w:r>
          </w:p>
        </w:tc>
      </w:tr>
    </w:tbl>
    <w:p>
      <w:pPr>
        <w:pStyle w:val="Heading2"/>
      </w:pPr>
      <w:r>
        <w:t>Verificación cruzada de la señal Sentinel-2</w:t>
      </w:r>
    </w:p>
    <w:p>
      <w:pPr>
        <w:jc w:val="both"/>
      </w:pPr>
      <w:r>
        <w:t>La señal primaria de Sentinel-2 (condición/NDVI y perturbación) se contrasta con tres fuentes independientes para descartar artefactos del sensor: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28"/>
        <w:gridCol w:w="1728"/>
        <w:gridCol w:w="1728"/>
        <w:gridCol w:w="1728"/>
        <w:gridCol w:w="1728"/>
      </w:tblGrid>
      <w:tr>
        <w:tc>
          <w:tcPr>
            <w:tcW w:type="dxa" w:w="1728"/>
            <w:shd w:val="clear" w:color="auto" w:fill="D5E8F0"/>
          </w:tcPr>
          <w:p>
            <w:r>
              <w:rPr>
                <w:b/>
                <w:sz w:val="17"/>
              </w:rPr>
              <w:t>Fuente</w:t>
            </w:r>
          </w:p>
        </w:tc>
        <w:tc>
          <w:tcPr>
            <w:tcW w:type="dxa" w:w="1728"/>
            <w:shd w:val="clear" w:color="auto" w:fill="D5E8F0"/>
          </w:tcPr>
          <w:p>
            <w:r>
              <w:rPr>
                <w:b/>
                <w:sz w:val="17"/>
              </w:rPr>
              <w:t>Tipo</w:t>
            </w:r>
          </w:p>
        </w:tc>
        <w:tc>
          <w:tcPr>
            <w:tcW w:type="dxa" w:w="1728"/>
            <w:shd w:val="clear" w:color="auto" w:fill="D5E8F0"/>
          </w:tcPr>
          <w:p>
            <w:r>
              <w:rPr>
                <w:b/>
                <w:sz w:val="17"/>
              </w:rPr>
              <w:t>Variable verificada</w:t>
            </w:r>
          </w:p>
        </w:tc>
        <w:tc>
          <w:tcPr>
            <w:tcW w:type="dxa" w:w="1728"/>
            <w:shd w:val="clear" w:color="auto" w:fill="D5E8F0"/>
          </w:tcPr>
          <w:p>
            <w:r>
              <w:rPr>
                <w:b/>
                <w:sz w:val="17"/>
              </w:rPr>
              <w:t>Resultado</w:t>
            </w:r>
          </w:p>
        </w:tc>
        <w:tc>
          <w:tcPr>
            <w:tcW w:type="dxa" w:w="1728"/>
            <w:shd w:val="clear" w:color="auto" w:fill="D5E8F0"/>
          </w:tcPr>
          <w:p>
            <w:r>
              <w:rPr>
                <w:b/>
                <w:sz w:val="17"/>
              </w:rPr>
              <w:t>Lectura</w:t>
            </w:r>
          </w:p>
        </w:tc>
      </w:tr>
      <w:tr>
        <w:tc>
          <w:tcPr>
            <w:tcW w:type="dxa" w:w="1728"/>
          </w:tcPr>
          <w:p>
            <w:r>
              <w:rPr>
                <w:b/>
                <w:sz w:val="17"/>
              </w:rPr>
              <w:t>Landsat 8 (LC08)</w:t>
            </w:r>
          </w:p>
        </w:tc>
        <w:tc>
          <w:tcPr>
            <w:tcW w:type="dxa" w:w="1728"/>
          </w:tcPr>
          <w:p>
            <w:r>
              <w:rPr>
                <w:b w:val="0"/>
                <w:sz w:val="17"/>
              </w:rPr>
              <w:t>Óptico — sensor independiente</w:t>
            </w:r>
          </w:p>
        </w:tc>
        <w:tc>
          <w:tcPr>
            <w:tcW w:type="dxa" w:w="1728"/>
          </w:tcPr>
          <w:p>
            <w:r>
              <w:rPr>
                <w:b w:val="0"/>
                <w:sz w:val="17"/>
              </w:rPr>
              <w:t>NDVI medio (ventana de verano homogénea)</w:t>
            </w:r>
          </w:p>
        </w:tc>
        <w:tc>
          <w:tcPr>
            <w:tcW w:type="dxa" w:w="1728"/>
          </w:tcPr>
          <w:p>
            <w:r>
              <w:rPr>
                <w:b w:val="0"/>
                <w:sz w:val="17"/>
              </w:rPr>
              <w:t>S2 0,229 vs Landsat 0,277; Δ=−0,048</w:t>
            </w:r>
          </w:p>
        </w:tc>
        <w:tc>
          <w:tcPr>
            <w:tcW w:type="dxa" w:w="1728"/>
          </w:tcPr>
          <w:p>
            <w:r>
              <w:rPr>
                <w:b w:val="0"/>
                <w:sz w:val="17"/>
              </w:rPr>
              <w:t>Excelente consistencia inter-sensor: al homogeneizar la ventana, la diferencia baja de −0,08 a −0,049, dentro del sesgo sistemático conocido S2↔Landsat (Landsat lee NDVI ligeramente mayor)</w:t>
            </w:r>
          </w:p>
        </w:tc>
      </w:tr>
      <w:tr>
        <w:tc>
          <w:tcPr>
            <w:tcW w:type="dxa" w:w="1728"/>
          </w:tcPr>
          <w:p>
            <w:r>
              <w:rPr>
                <w:b/>
                <w:sz w:val="17"/>
              </w:rPr>
              <w:t>Hansen GFC v1.12</w:t>
            </w:r>
          </w:p>
        </w:tc>
        <w:tc>
          <w:tcPr>
            <w:tcW w:type="dxa" w:w="1728"/>
          </w:tcPr>
          <w:p>
            <w:r>
              <w:rPr>
                <w:b w:val="0"/>
                <w:sz w:val="17"/>
              </w:rPr>
              <w:t>Óptico — pérdida anual de bosque</w:t>
            </w:r>
          </w:p>
        </w:tc>
        <w:tc>
          <w:tcPr>
            <w:tcW w:type="dxa" w:w="1728"/>
          </w:tcPr>
          <w:p>
            <w:r>
              <w:rPr>
                <w:b w:val="0"/>
                <w:sz w:val="17"/>
              </w:rPr>
              <w:t>Pérdida de bosque 2018-19</w:t>
            </w:r>
          </w:p>
        </w:tc>
        <w:tc>
          <w:tcPr>
            <w:tcW w:type="dxa" w:w="1728"/>
          </w:tcPr>
          <w:p>
            <w:r>
              <w:rPr>
                <w:b w:val="0"/>
                <w:sz w:val="17"/>
              </w:rPr>
              <w:t>524.266 ha</w:t>
            </w:r>
          </w:p>
        </w:tc>
        <w:tc>
          <w:tcPr>
            <w:tcW w:type="dxa" w:w="1728"/>
          </w:tcPr>
          <w:p>
            <w:r>
              <w:rPr>
                <w:b w:val="0"/>
                <w:sz w:val="17"/>
              </w:rPr>
              <w:t>Confirma de forma independiente los focos de degradación que marca la caída de NDVI</w:t>
            </w:r>
          </w:p>
        </w:tc>
      </w:tr>
      <w:tr>
        <w:tc>
          <w:tcPr>
            <w:tcW w:type="dxa" w:w="1728"/>
          </w:tcPr>
          <w:p>
            <w:r>
              <w:rPr>
                <w:b/>
                <w:sz w:val="17"/>
              </w:rPr>
              <w:t>MODIS MCD64A1</w:t>
            </w:r>
          </w:p>
        </w:tc>
        <w:tc>
          <w:tcPr>
            <w:tcW w:type="dxa" w:w="1728"/>
          </w:tcPr>
          <w:p>
            <w:r>
              <w:rPr>
                <w:b w:val="0"/>
                <w:sz w:val="17"/>
              </w:rPr>
              <w:t>Quemado — sensor independiente</w:t>
            </w:r>
          </w:p>
        </w:tc>
        <w:tc>
          <w:tcPr>
            <w:tcW w:type="dxa" w:w="1728"/>
          </w:tcPr>
          <w:p>
            <w:r>
              <w:rPr>
                <w:b w:val="0"/>
                <w:sz w:val="17"/>
              </w:rPr>
              <w:t>Área quemada 2018-19</w:t>
            </w:r>
          </w:p>
        </w:tc>
        <w:tc>
          <w:tcPr>
            <w:tcW w:type="dxa" w:w="1728"/>
          </w:tcPr>
          <w:p>
            <w:r>
              <w:rPr>
                <w:b w:val="0"/>
                <w:sz w:val="17"/>
              </w:rPr>
              <w:t>193.105 ha</w:t>
            </w:r>
          </w:p>
        </w:tc>
        <w:tc>
          <w:tcPr>
            <w:tcW w:type="dxa" w:w="1728"/>
          </w:tcPr>
          <w:p>
            <w:r>
              <w:rPr>
                <w:b w:val="0"/>
                <w:sz w:val="17"/>
              </w:rPr>
              <w:t>Confirma el fuego como motor real de perturbación (no es ruido del composite)</w:t>
            </w:r>
          </w:p>
        </w:tc>
      </w:tr>
    </w:tbl>
    <w:p>
      <w:r>
        <w:rPr>
          <w:i/>
          <w:sz w:val="18"/>
        </w:rPr>
        <w:t>Tabla 2. Verificación cruzada de Sentinel-2 con Landsat-8 (consistencia inter-sensor), Hansen Forest Loss y MODIS Burned Area. Las tres fuentes corroboran de forma independiente el patrón de condición y perturbación estimado por Sentinel-2.</w:t>
      </w:r>
    </w:p>
    <w:p>
      <w:pPr>
        <w:pStyle w:val="Heading2"/>
      </w:pPr>
      <w:r>
        <w:t>Interpretación</w:t>
      </w:r>
    </w:p>
    <w:p>
      <w:pPr>
        <w:jc w:val="both"/>
      </w:pPr>
      <w:r>
        <w:t>Con un método íntegramente basado en observación de la Tierra, SEEA–AI reproduce el orden de magnitud por unidad de las cuentas SEEA–EA revisadas por pares del Murray–Darling (Smith et al., 2025) en los servicios derivables por teledetección, y su señal queda corroborada por tres fuentes independientes (Landsat, Hansen y MODIS). El secuestro de carbono coincide dentro del 27 % (12,6 vs 9,9 tCO₂/ha·año), con una desviación atribuible y conocida (la PPN no descuenta la respiración heterótrofa). Las diferencias en stock de carbono y sedimentos se explican por alcance y definición —biomasa frente a biomasa+suelo; pérdida bruta frente a retención—, no por error del método. Esta concordancia valida externamente la arquitectura SEEA–AI y justifica su transferencia, con parámetros re-localizados, a la cuenca del río Sinú (Colombia), donde no existen cuentas equivalentes.</w:t>
      </w:r>
    </w:p>
    <w:p>
      <w:r>
        <w:rPr>
          <w:i/>
          <w:sz w:val="19"/>
        </w:rPr>
        <w:t>Nota: para el carbono de suelo (la mayor parte de los 346 tCO₂/ha de Smith) se recomienda un producto edáfico validado (SoilGrids/ISRIC o SLGA-TERN/CSIRO), ya que el carbono de suelo no es medible directamente con Sentinel (Castaldi et al., 2019; Vaudour et al., 2019, 2022). La verificación cruzada S2↔Landsat y el proxy de sedimentos (InVEST-SDR) se señalan como afinado pendiente.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