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16 — Referral Program</w:t>
      </w:r>
    </w:p>
    <w:p>
      <w:r/>
      <w:r>
        <w:rPr>
          <w:b/>
        </w:rPr>
        <w:t>Purpose:</w:t>
      </w:r>
      <w:r>
        <w:t xml:space="preserve"> Tap existing active base as acquisition channel (does not currently exist)  </w:t>
      </w:r>
    </w:p>
    <w:p>
      <w:r/>
      <w:r>
        <w:rPr>
          <w:b/>
        </w:rPr>
        <w:t>Impact:</w:t>
      </w:r>
      <w:r>
        <w:t xml:space="preserve"> Low-effort, medium-impact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Mechanic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Role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Action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Referrer</w:t>
            </w:r>
            <w:r>
              <w:rPr>
                <w:sz w:val="18"/>
              </w:rPr>
              <w:t xml:space="preserve"> (existing player)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Gets unique referral link/code, shares via WhatsApp, Instagram, copy-paste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Referred</w:t>
            </w:r>
            <w:r>
              <w:rPr>
                <w:sz w:val="18"/>
              </w:rPr>
              <w:t xml:space="preserve"> (new player)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Registers using link, gets enhanced welcome bonus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Reward trigger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When referred player completes </w:t>
            </w:r>
            <w:r>
              <w:rPr>
                <w:b/>
                <w:sz w:val="18"/>
              </w:rPr>
              <w:t>STD</w:t>
            </w:r>
            <w:r>
              <w:rPr>
                <w:sz w:val="18"/>
              </w:rPr>
              <w:t xml:space="preserve"> (second deposit), NOT just FTD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Why STD?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Protects against abuse, aligns with actual value creation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Offer Structure</w:t>
      </w:r>
    </w:p>
    <w:p>
      <w:pPr>
        <w:pStyle w:val="Heading3"/>
      </w:pPr>
      <w:r>
        <w:t>Referrer Rewards (on referred player's STD)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Reward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Cash bonus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2,000 ARS per successful referral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CC bonus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500 CC per referral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Tier milestone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5 referrals → 10,000 ARS + VIP Lucky Wheel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Monthly leaderboard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Top 10 referrers → additional 10,000 ARS cash prize</w:t>
            </w:r>
          </w:p>
        </w:tc>
      </w:tr>
    </w:tbl>
    <w:p/>
    <w:p>
      <w:pPr>
        <w:pStyle w:val="Heading3"/>
      </w:pPr>
      <w:r>
        <w:t>Referred Player Rewards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Reward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Enhanced welcome bonus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150% match (instead of 120%) + 60 FS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Registration gift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500 ARS no-deposit bonus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Badge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"Invited by [referrer name]" visible in profile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Anti-Abuse Rules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Rule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Self-referral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Blocked (IP, device fingerprint, payment method match)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Same payment method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Cannot be used by both referrer and referred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Referrer eligibility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Must have ≥3 deposits to generate referral code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Monthly cap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Max 10 successful referrals per referrer per month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KYC gate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KYC required for referrer rewards above 1,000 ARS cash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Velocity check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&gt;5 referrals in 48h → flag for manual review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Launch Campaign</w:t>
      </w:r>
    </w:p>
    <w:p>
      <w:pPr>
        <w:pStyle w:val="Heading3"/>
      </w:pPr>
      <w:r>
        <w:t>Comms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8F0"/>
          </w:tcPr>
          <w:p>
            <w:r/>
            <w:r>
              <w:rPr>
                <w:b/>
                <w:sz w:val="18"/>
              </w:rPr>
              <w:t>Comm</w:t>
            </w:r>
          </w:p>
        </w:tc>
        <w:tc>
          <w:tcPr>
            <w:tcW w:type="dxa" w:w="2160"/>
            <w:shd w:val="clear" w:color="auto" w:fill="E8E8F0"/>
          </w:tcPr>
          <w:p>
            <w:r/>
            <w:r>
              <w:rPr>
                <w:b/>
                <w:sz w:val="18"/>
              </w:rPr>
              <w:t>Timing</w:t>
            </w:r>
          </w:p>
        </w:tc>
        <w:tc>
          <w:tcPr>
            <w:tcW w:type="dxa" w:w="2160"/>
            <w:shd w:val="clear" w:color="auto" w:fill="E8E8F0"/>
          </w:tcPr>
          <w:p>
            <w:r/>
            <w:r>
              <w:rPr>
                <w:b/>
                <w:sz w:val="18"/>
              </w:rPr>
              <w:t>Channel</w:t>
            </w:r>
          </w:p>
        </w:tc>
        <w:tc>
          <w:tcPr>
            <w:tcW w:type="dxa" w:w="2160"/>
            <w:shd w:val="clear" w:color="auto" w:fill="E8E8F0"/>
          </w:tcPr>
          <w:p>
            <w:r/>
            <w:r>
              <w:rPr>
                <w:b/>
                <w:sz w:val="18"/>
              </w:rPr>
              <w:t>Copy (ES)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Announcement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Week 1 launch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Email (entire active base)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"Invitá amigos y ganá. Tu link: [link]. 2,000 ARS por cada amigo."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Launch bonus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Week 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Email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"Primeros 100 referidos que depositen 2 veces → 1,000 ARS extra para vos."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Weekly reminder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Weekly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Email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"Tus ganancias de referidos este mes: [X] ARS. Invitá más: [link]"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Leaderboard update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Monthly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Email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"Top 10 referidores del mes. ¡Entrá al ranking!"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Expected Impact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Metric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Target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Referral share of new registrations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5–10% within 12 weeks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Referred player retention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+20–30% vs paid acquisition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VIP identification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Prolific referrers = brand advocates → VIP candidates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4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A1A2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A1A2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A1A2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