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14 — Редизайн лендинга бонусов — Руководство по внедрению</w:t>
      </w:r>
    </w:p>
    <w:p>
      <w:r>
        <w:rPr>
          <w:b/>
        </w:rPr>
        <w:t>Цепочка:</w:t>
      </w:r>
      <w:r>
        <w:t xml:space="preserve"> Персонализация лендинга (макет карточек на основе жизненного цикла + исправления)</w:t>
      </w:r>
    </w:p>
    <w:p>
      <w:r>
        <w:rPr>
          <w:b/>
        </w:rPr>
        <w:t>Приоритет:</w:t>
      </w:r>
      <w:r>
        <w:t xml:space="preserve"> Фаза 1 (Неделя 2–3)</w:t>
      </w:r>
    </w:p>
    <w:p>
      <w:r>
        <w:rPr>
          <w:b/>
        </w:rPr>
        <w:t>Тип:</w:t>
      </w:r>
      <w:r>
        <w:t xml:space="preserve"> Изменение UI/UX, не CRM-путь</w:t>
      </w:r>
    </w:p>
    <w:p>
      <w:pPr>
        <w:spacing w:before="120" w:after="120"/>
        <w:pBdr>
          <w:bottom w:val="single" w:sz="6" w:space="1" w:color="BDC3C7"/>
        </w:pBdr>
      </w:pPr>
    </w:p>
    <w:p>
      <w:pPr>
        <w:pStyle w:val="Heading2"/>
      </w:pPr>
      <w:r>
        <w:t>ШАГ 0: ПРЕДВАРИТЕЛЬНЫЙ ЧЕК-ЛИСТ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Доступ к GR8 Tech CMS или конструктору лендингов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Атрибут стадии жизненного цикла игрока доступен для персонализации страницы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Возможность динамического рендеринга контента (показ/скрытие карточек по сегменту)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Расписание розыгрышей Lucky Wheel настроено (ежедневно/еженедельно)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API рекомендаций игр доступен (или ручной список топ-10)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Аналитика отслеживания показов карточек, кликов, конверсий</w:t>
      </w:r>
    </w:p>
    <w:p>
      <w:pPr>
        <w:spacing w:before="120" w:after="120"/>
        <w:pBdr>
          <w:bottom w:val="single" w:sz="6" w:space="1" w:color="BDC3C7"/>
        </w:pBdr>
      </w:pPr>
    </w:p>
    <w:p>
      <w:pPr>
        <w:pStyle w:val="Heading2"/>
      </w:pPr>
      <w:r>
        <w:t>A. ИСПРАВЛЕНИЕ КРИТИЧЕСКИХ ПРОБЛЕМ (До редизайна)</w:t>
      </w:r>
    </w:p>
    <w:p>
      <w:pPr>
        <w:pStyle w:val="Heading3"/>
      </w:pPr>
      <w:r>
        <w:t>Исправление 1: Обратный отсчёт Lucky Wheel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Проблема</w:t>
            </w:r>
          </w:p>
        </w:tc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"357D LEFT" — почти год. Нет срочности. Страница выглядит устаревшей.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Решение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Заменить на обратный отсчёт до </w:t>
            </w:r>
            <w:r>
              <w:rPr>
                <w:rFonts w:ascii="Calibri" w:hAnsi="Calibri"/>
                <w:b/>
                <w:sz w:val="20"/>
              </w:rPr>
              <w:t>следующего запланированного розыгрыша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Логика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IF draw_scheduled → show "Próximo sorteo en {hours}h {minutes}m"</w:t>
            </w:r>
            <w:r>
              <w:rPr>
                <w:rFonts w:ascii="Calibri" w:hAnsi="Calibri"/>
                <w:sz w:val="20"/>
              </w:rPr>
              <w:t xml:space="preserve"> &lt;br&gt; </w:t>
            </w:r>
            <w:r>
              <w:rPr>
                <w:rFonts w:ascii="Calibri" w:hAnsi="Calibri"/>
                <w:color w:val="C0392B"/>
                <w:sz w:val="20"/>
              </w:rPr>
              <w:t>IF no_draw_scheduled → show "Próximo Lucky Wheel: {date}" teaser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НЕЛЬЗЯ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Показывать обратный отсчёт &gt; 7 дней. Если таймер &gt; 7д — скрыть карточку.</w:t>
            </w:r>
          </w:p>
        </w:tc>
      </w:tr>
    </w:tbl>
    <w:p/>
    <w:p>
      <w:pPr>
        <w:pStyle w:val="Heading3"/>
      </w:pPr>
      <w:r>
        <w:t>Исправление 2: Приветственный бонус на спорт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Проблема</w:t>
            </w:r>
          </w:p>
        </w:tc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Отображается на видном месте. 99.9% — казино-игроки. Впустую потрачено место.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Решение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Добавить вкладки-фильтры вверху: </w:t>
            </w:r>
            <w:r>
              <w:rPr>
                <w:rFonts w:ascii="Calibri" w:hAnsi="Calibri"/>
                <w:b/>
                <w:sz w:val="20"/>
              </w:rPr>
              <w:t>Todo / Casino / Deportes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По умолчанию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Выбрана вкладка Casino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Карточка спорта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Видна только во вкладке Deportes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Исключения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Если </w:t>
            </w:r>
            <w:r>
              <w:rPr>
                <w:rFonts w:ascii="Calibri" w:hAnsi="Calibri"/>
                <w:color w:val="C0392B"/>
                <w:sz w:val="20"/>
              </w:rPr>
              <w:t>player.game_preference = "Sports"</w:t>
            </w:r>
            <w:r>
              <w:rPr>
                <w:rFonts w:ascii="Calibri" w:hAnsi="Calibri"/>
                <w:sz w:val="20"/>
              </w:rPr>
              <w:t xml:space="preserve"> → по умолчанию вкладка Deportes</w:t>
            </w:r>
          </w:p>
        </w:tc>
      </w:tr>
    </w:tbl>
    <w:p/>
    <w:p>
      <w:pPr>
        <w:pStyle w:val="Heading3"/>
      </w:pPr>
      <w:r>
        <w:t>Исправление 3: Дублирующиеся приветственные карточки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Проблема</w:t>
            </w:r>
          </w:p>
        </w:tc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2 почти идентичные карточки Slots/Live (150% + 60 FS vs 150%). Каннибализация.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Решение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Объединить в </w:t>
            </w:r>
            <w:r>
              <w:rPr>
                <w:rFonts w:ascii="Calibri" w:hAnsi="Calibri"/>
                <w:b/>
                <w:sz w:val="20"/>
              </w:rPr>
              <w:t>одну</w:t>
            </w:r>
            <w:r>
              <w:rPr>
                <w:rFonts w:ascii="Calibri" w:hAnsi="Calibri"/>
                <w:sz w:val="20"/>
              </w:rPr>
              <w:t xml:space="preserve"> главную карточку: </w:t>
            </w:r>
            <w:r>
              <w:rPr>
                <w:rFonts w:ascii="Calibri" w:hAnsi="Calibri"/>
                <w:color w:val="C0392B"/>
                <w:sz w:val="20"/>
              </w:rPr>
              <w:t>120% + 50 FS</w:t>
            </w:r>
            <w:r>
              <w:rPr>
                <w:rFonts w:ascii="Calibri" w:hAnsi="Calibri"/>
                <w:sz w:val="20"/>
              </w:rPr>
              <w:t xml:space="preserve"> (в соответствии с лестницей Chain 05)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Показывать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Одну карточку с чётким CTA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Если игрок использовал приветственный бонус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Скрыть карточку полностью, заменить предложением пополнения</w:t>
            </w:r>
          </w:p>
        </w:tc>
      </w:tr>
    </w:tbl>
    <w:p/>
    <w:p>
      <w:pPr>
        <w:pStyle w:val="Heading3"/>
      </w:pPr>
      <w:r>
        <w:t>Исправление 4: Нет визуальной иерархии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Проблема</w:t>
            </w:r>
          </w:p>
        </w:tc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Lucky Wheel визуально равен приветственным бонусам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Решение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Главная карточка (большая, вверху) + вспомогательные карточки (меньше, ниже)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Макет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1 главная (на всю ширину) + 2–3 вспомогательные (сетка в половину ширины)</w:t>
            </w:r>
          </w:p>
        </w:tc>
      </w:tr>
    </w:tbl>
    <w:p/>
    <w:p>
      <w:pPr>
        <w:spacing w:before="120" w:after="120"/>
        <w:pBdr>
          <w:bottom w:val="single" w:sz="6" w:space="1" w:color="BDC3C7"/>
        </w:pBdr>
      </w:pPr>
    </w:p>
    <w:p>
      <w:pPr>
        <w:pStyle w:val="Heading2"/>
      </w:pPr>
      <w:r>
        <w:t>B. ПЕРСОНАЛИЗИРОВАННЫЕ МАКЕТЫ ПО ЖИЗНЕННОМУ ЦИКЛУ</w:t>
      </w:r>
    </w:p>
    <w:p>
      <w:pPr>
        <w:pStyle w:val="Heading3"/>
      </w:pPr>
      <w:r>
        <w:t>Макет 1: Игрок до FTD</w:t>
      </w:r>
    </w:p>
    <w:p>
      <w:r>
        <w:rPr>
          <w:b/>
        </w:rPr>
        <w:t>Сегмент:</w:t>
      </w:r>
      <w:r>
        <w:t xml:space="preserve"> </w:t>
      </w:r>
      <w:r>
        <w:rPr>
          <w:rFonts w:ascii="Consolas" w:hAnsi="Consolas"/>
          <w:color w:val="C0392B"/>
          <w:sz w:val="19"/>
        </w:rPr>
        <w:t>lifecycle_stage = "Registered" OR "Activated"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Позиция</w:t>
            </w:r>
          </w:p>
        </w:tc>
        <w:tc>
          <w:tcPr>
            <w:tcW w:type="dxa" w:w="2351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Карточка</w:t>
            </w:r>
          </w:p>
        </w:tc>
        <w:tc>
          <w:tcPr>
            <w:tcW w:type="dxa" w:w="2351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Контент (ES)</w:t>
            </w:r>
          </w:p>
        </w:tc>
        <w:tc>
          <w:tcPr>
            <w:tcW w:type="dxa" w:w="2351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CTA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Главная</w:t>
            </w:r>
            <w:r>
              <w:rPr>
                <w:rFonts w:ascii="Calibri" w:hAnsi="Calibri"/>
                <w:sz w:val="20"/>
              </w:rPr>
              <w:t xml:space="preserve"> (на всю ширину)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Welcome Bonus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Bono de bienvenida: 120% + 50 giros gratis en Gates of Olympus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Depositar ahora</w:t>
            </w:r>
            <w:r>
              <w:rPr>
                <w:rFonts w:ascii="Calibri" w:hAnsi="Calibri"/>
                <w:sz w:val="20"/>
              </w:rPr>
              <w:t xml:space="preserve"> → Cashier</w:t>
            </w:r>
          </w:p>
        </w:tc>
      </w:tr>
      <w:tr>
        <w:tc>
          <w:tcPr>
            <w:tcW w:type="dxa" w:w="2351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Вспомогательная 1</w:t>
            </w:r>
          </w:p>
        </w:tc>
        <w:tc>
          <w:tcPr>
            <w:tcW w:type="dxa" w:w="2351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Lucky Wheel</w:t>
            </w:r>
          </w:p>
        </w:tc>
        <w:tc>
          <w:tcPr>
            <w:tcW w:type="dxa" w:w="2351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Próximo sorteo en {countdown}. Depositá para participar.</w:t>
            </w:r>
          </w:p>
        </w:tc>
        <w:tc>
          <w:tcPr>
            <w:tcW w:type="dxa" w:w="2351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Ver premios</w:t>
            </w:r>
            <w:r>
              <w:rPr>
                <w:rFonts w:ascii="Calibri" w:hAnsi="Calibri"/>
                <w:sz w:val="20"/>
              </w:rPr>
              <w:t xml:space="preserve"> → Wheel page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Вспомогательная 2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Превью топ-игр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 избранных слота из топ-10 (изображения + названия)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Jugar gratis</w:t>
            </w:r>
            <w:r>
              <w:rPr>
                <w:rFonts w:ascii="Calibri" w:hAnsi="Calibri"/>
                <w:sz w:val="20"/>
              </w:rPr>
              <w:t xml:space="preserve"> → Demo mode</w:t>
            </w:r>
          </w:p>
        </w:tc>
      </w:tr>
      <w:tr>
        <w:tc>
          <w:tcPr>
            <w:tcW w:type="dxa" w:w="2351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Вспомогательная 3</w:t>
            </w:r>
          </w:p>
        </w:tc>
        <w:tc>
          <w:tcPr>
            <w:tcW w:type="dxa" w:w="2351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Руководство «Как»</w:t>
            </w:r>
          </w:p>
        </w:tc>
        <w:tc>
          <w:tcPr>
            <w:tcW w:type="dxa" w:w="2351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Cómo depositar en 2 minutos</w:t>
            </w:r>
            <w:r>
              <w:rPr>
                <w:rFonts w:ascii="Calibri" w:hAnsi="Calibri"/>
                <w:sz w:val="20"/>
              </w:rPr>
              <w:t xml:space="preserve"> (пошаговый визуал)</w:t>
            </w:r>
          </w:p>
        </w:tc>
        <w:tc>
          <w:tcPr>
            <w:tcW w:type="dxa" w:w="2351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Depositar</w:t>
            </w:r>
            <w:r>
              <w:rPr>
                <w:rFonts w:ascii="Calibri" w:hAnsi="Calibri"/>
                <w:sz w:val="20"/>
              </w:rPr>
              <w:t xml:space="preserve"> → Cashier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Скрыто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Предложения пополнения, VIP-контент, Bonus Shop, Квесты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—</w:t>
            </w:r>
          </w:p>
        </w:tc>
      </w:tr>
    </w:tbl>
    <w:p/>
    <w:p>
      <w:pPr>
        <w:spacing w:before="120" w:after="120"/>
        <w:pBdr>
          <w:bottom w:val="single" w:sz="6" w:space="1" w:color="BDC3C7"/>
        </w:pBdr>
      </w:pPr>
    </w:p>
    <w:p>
      <w:pPr>
        <w:pStyle w:val="Heading3"/>
      </w:pPr>
      <w:r>
        <w:t>Макет 2: День 1 (Post-FTD, первые 72 часа)</w:t>
      </w:r>
    </w:p>
    <w:p>
      <w:r>
        <w:rPr>
          <w:b/>
        </w:rPr>
        <w:t>Сегмент:</w:t>
      </w:r>
      <w:r>
        <w:t xml:space="preserve"> </w:t>
      </w:r>
      <w:r>
        <w:rPr>
          <w:rFonts w:ascii="Consolas" w:hAnsi="Consolas"/>
          <w:color w:val="C0392B"/>
          <w:sz w:val="19"/>
        </w:rPr>
        <w:t>lifecycle_stage = "FTD" OR "Day_1_3"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Позиция</w:t>
            </w:r>
          </w:p>
        </w:tc>
        <w:tc>
          <w:tcPr>
            <w:tcW w:type="dxa" w:w="2351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Карточка</w:t>
            </w:r>
          </w:p>
        </w:tc>
        <w:tc>
          <w:tcPr>
            <w:tcW w:type="dxa" w:w="2351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Контент (ES)</w:t>
            </w:r>
          </w:p>
        </w:tc>
        <w:tc>
          <w:tcPr>
            <w:tcW w:type="dxa" w:w="2351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CTA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Главная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Предложение второго депозита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Tu segundo depósito: 75% + 30 giros en {first_session_game}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Depositar</w:t>
            </w:r>
            <w:r>
              <w:rPr>
                <w:rFonts w:ascii="Calibri" w:hAnsi="Calibri"/>
                <w:sz w:val="20"/>
              </w:rPr>
              <w:t xml:space="preserve"> → Cashier</w:t>
            </w:r>
          </w:p>
        </w:tc>
      </w:tr>
      <w:tr>
        <w:tc>
          <w:tcPr>
            <w:tcW w:type="dxa" w:w="2351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Вспомогательная 1</w:t>
            </w:r>
          </w:p>
        </w:tc>
        <w:tc>
          <w:tcPr>
            <w:tcW w:type="dxa" w:w="2351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Оставшиеся приветственные FS</w:t>
            </w:r>
          </w:p>
        </w:tc>
        <w:tc>
          <w:tcPr>
            <w:tcW w:type="dxa" w:w="2351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Te quedan {remaining_fs} giros gratis. Usalos ahora.</w:t>
            </w:r>
          </w:p>
        </w:tc>
        <w:tc>
          <w:tcPr>
            <w:tcW w:type="dxa" w:w="2351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Jugar</w:t>
            </w:r>
            <w:r>
              <w:rPr>
                <w:rFonts w:ascii="Calibri" w:hAnsi="Calibri"/>
                <w:sz w:val="20"/>
              </w:rPr>
              <w:t xml:space="preserve"> → Slot page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Вспомогательная 2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Lucky Wheel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Реальный обратный отсчёт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Girar</w:t>
            </w:r>
            <w:r>
              <w:rPr>
                <w:rFonts w:ascii="Calibri" w:hAnsi="Calibri"/>
                <w:sz w:val="20"/>
              </w:rPr>
              <w:t xml:space="preserve"> → Wheel</w:t>
            </w:r>
          </w:p>
        </w:tc>
      </w:tr>
      <w:tr>
        <w:tc>
          <w:tcPr>
            <w:tcW w:type="dxa" w:w="2351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Вспомогательная 3</w:t>
            </w:r>
          </w:p>
        </w:tc>
        <w:tc>
          <w:tcPr>
            <w:tcW w:type="dxa" w:w="2351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Рекомендации игр</w:t>
            </w:r>
          </w:p>
        </w:tc>
        <w:tc>
          <w:tcPr>
            <w:tcW w:type="dxa" w:w="2351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На основе поведения в первой сессии</w:t>
            </w:r>
          </w:p>
        </w:tc>
        <w:tc>
          <w:tcPr>
            <w:tcW w:type="dxa" w:w="2351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Probar</w:t>
            </w:r>
            <w:r>
              <w:rPr>
                <w:rFonts w:ascii="Calibri" w:hAnsi="Calibri"/>
                <w:sz w:val="20"/>
              </w:rPr>
              <w:t xml:space="preserve"> → Game</w:t>
            </w:r>
          </w:p>
        </w:tc>
      </w:tr>
    </w:tbl>
    <w:p/>
    <w:p>
      <w:pPr>
        <w:spacing w:before="120" w:after="120"/>
        <w:pBdr>
          <w:bottom w:val="single" w:sz="6" w:space="1" w:color="BDC3C7"/>
        </w:pBdr>
      </w:pPr>
    </w:p>
    <w:p>
      <w:pPr>
        <w:pStyle w:val="Heading3"/>
      </w:pPr>
      <w:r>
        <w:t>Макет 3: Регулярный игрок</w:t>
      </w:r>
    </w:p>
    <w:p>
      <w:r>
        <w:rPr>
          <w:b/>
        </w:rPr>
        <w:t>Сегмент:</w:t>
      </w:r>
      <w:r>
        <w:t xml:space="preserve"> </w:t>
      </w:r>
      <w:r>
        <w:rPr>
          <w:rFonts w:ascii="Consolas" w:hAnsi="Consolas"/>
          <w:color w:val="C0392B"/>
          <w:sz w:val="19"/>
        </w:rPr>
        <w:t>lifecycle_stage = "Regular"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Позиция</w:t>
            </w:r>
          </w:p>
        </w:tc>
        <w:tc>
          <w:tcPr>
            <w:tcW w:type="dxa" w:w="2351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Карточка</w:t>
            </w:r>
          </w:p>
        </w:tc>
        <w:tc>
          <w:tcPr>
            <w:tcW w:type="dxa" w:w="2351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Контент (ES)</w:t>
            </w:r>
          </w:p>
        </w:tc>
        <w:tc>
          <w:tcPr>
            <w:tcW w:type="dxa" w:w="2351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CTA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Главная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Еженедельное пополнение (ротация)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Recarga semanal: {offer_pct}% + {fs_count} giros. Válido hasta domingo.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Activar</w:t>
            </w:r>
            <w:r>
              <w:rPr>
                <w:rFonts w:ascii="Calibri" w:hAnsi="Calibri"/>
                <w:sz w:val="20"/>
              </w:rPr>
              <w:t xml:space="preserve"> → Deposit</w:t>
            </w:r>
          </w:p>
        </w:tc>
      </w:tr>
      <w:tr>
        <w:tc>
          <w:tcPr>
            <w:tcW w:type="dxa" w:w="2351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Вспомогательная 1</w:t>
            </w:r>
          </w:p>
        </w:tc>
        <w:tc>
          <w:tcPr>
            <w:tcW w:type="dxa" w:w="2351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Активные квесты</w:t>
            </w:r>
          </w:p>
        </w:tc>
        <w:tc>
          <w:tcPr>
            <w:tcW w:type="dxa" w:w="2351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Misión activa: {quest_name}. Progreso: {progress}%</w:t>
            </w:r>
          </w:p>
        </w:tc>
        <w:tc>
          <w:tcPr>
            <w:tcW w:type="dxa" w:w="2351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Ver misión</w:t>
            </w:r>
            <w:r>
              <w:rPr>
                <w:rFonts w:ascii="Calibri" w:hAnsi="Calibri"/>
                <w:sz w:val="20"/>
              </w:rPr>
              <w:t xml:space="preserve"> → Quest page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Вспомогательная 2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Lucky Wheel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Реальный обратный отсчёт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Girar</w:t>
            </w:r>
          </w:p>
        </w:tc>
      </w:tr>
      <w:tr>
        <w:tc>
          <w:tcPr>
            <w:tcW w:type="dxa" w:w="2351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Вспомогательная 3</w:t>
            </w:r>
          </w:p>
        </w:tc>
        <w:tc>
          <w:tcPr>
            <w:tcW w:type="dxa" w:w="2351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Избранное Bonus Shop</w:t>
            </w:r>
          </w:p>
        </w:tc>
        <w:tc>
          <w:tcPr>
            <w:tcW w:type="dxa" w:w="2351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Топ-2 предмета по выкупу</w:t>
            </w:r>
          </w:p>
        </w:tc>
        <w:tc>
          <w:tcPr>
            <w:tcW w:type="dxa" w:w="2351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Ver tienda</w:t>
            </w:r>
            <w:r>
              <w:rPr>
                <w:rFonts w:ascii="Calibri" w:hAnsi="Calibri"/>
                <w:sz w:val="20"/>
              </w:rPr>
              <w:t xml:space="preserve"> → Shop</w:t>
            </w:r>
          </w:p>
        </w:tc>
      </w:tr>
    </w:tbl>
    <w:p/>
    <w:p>
      <w:pPr>
        <w:spacing w:before="120" w:after="120"/>
        <w:pBdr>
          <w:bottom w:val="single" w:sz="6" w:space="1" w:color="BDC3C7"/>
        </w:pBdr>
      </w:pPr>
    </w:p>
    <w:p>
      <w:pPr>
        <w:pStyle w:val="Heading3"/>
      </w:pPr>
      <w:r>
        <w:t>Макет 4: Pre-VIP / VIP</w:t>
      </w:r>
    </w:p>
    <w:p>
      <w:r>
        <w:rPr>
          <w:b/>
        </w:rPr>
        <w:t>Сегмент:</w:t>
      </w:r>
      <w:r>
        <w:t xml:space="preserve"> </w:t>
      </w:r>
      <w:r>
        <w:rPr>
          <w:rFonts w:ascii="Consolas" w:hAnsi="Consolas"/>
          <w:color w:val="C0392B"/>
          <w:sz w:val="19"/>
        </w:rPr>
        <w:t>lifecycle_stage IN ("Pre-VIP", "VIP_I", "VIP_II", "VIP_III", "VIP_IV")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Позиция</w:t>
            </w:r>
          </w:p>
        </w:tc>
        <w:tc>
          <w:tcPr>
            <w:tcW w:type="dxa" w:w="2351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Карточка</w:t>
            </w:r>
          </w:p>
        </w:tc>
        <w:tc>
          <w:tcPr>
            <w:tcW w:type="dxa" w:w="2351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Контент (ES)</w:t>
            </w:r>
          </w:p>
        </w:tc>
        <w:tc>
          <w:tcPr>
            <w:tcW w:type="dxa" w:w="2351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CTA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Главная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Персональное сообщение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{crm_owner_name}: {personalized_message}. Tu cashback esta semana: {cashback_amount} ARS.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Ver mi cuenta VIP</w:t>
            </w:r>
          </w:p>
        </w:tc>
      </w:tr>
      <w:tr>
        <w:tc>
          <w:tcPr>
            <w:tcW w:type="dxa" w:w="2351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Вспомогательная 1</w:t>
            </w:r>
          </w:p>
        </w:tc>
        <w:tc>
          <w:tcPr>
            <w:tcW w:type="dxa" w:w="2351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Эксклюзивное предложение</w:t>
            </w:r>
          </w:p>
        </w:tc>
        <w:tc>
          <w:tcPr>
            <w:tcW w:type="dxa" w:w="2351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VIP-only предложение (ротация еженедельно)</w:t>
            </w:r>
          </w:p>
        </w:tc>
        <w:tc>
          <w:tcPr>
            <w:tcW w:type="dxa" w:w="2351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Activar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Вспомогательная 2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VIP-события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Предстоящие турниры, эксклюзивные розыгрыши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Ver eventos</w:t>
            </w:r>
          </w:p>
        </w:tc>
      </w:tr>
      <w:tr>
        <w:tc>
          <w:tcPr>
            <w:tcW w:type="dxa" w:w="2351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Вспомогательная 3</w:t>
            </w:r>
          </w:p>
        </w:tc>
        <w:tc>
          <w:tcPr>
            <w:tcW w:type="dxa" w:w="2351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Подобранные игры</w:t>
            </w:r>
          </w:p>
        </w:tc>
        <w:tc>
          <w:tcPr>
            <w:tcW w:type="dxa" w:w="2351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AI-подбор на основе истории игры</w:t>
            </w:r>
          </w:p>
        </w:tc>
        <w:tc>
          <w:tcPr>
            <w:tcW w:type="dxa" w:w="2351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Jugar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Скрыто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Стандартные приветственные/пополнительные предложения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—</w:t>
            </w:r>
          </w:p>
        </w:tc>
      </w:tr>
    </w:tbl>
    <w:p/>
    <w:p>
      <w:pPr>
        <w:spacing w:before="120" w:after="120"/>
        <w:pBdr>
          <w:bottom w:val="single" w:sz="6" w:space="1" w:color="BDC3C7"/>
        </w:pBdr>
      </w:pPr>
    </w:p>
    <w:p>
      <w:pPr>
        <w:pStyle w:val="Heading2"/>
      </w:pPr>
      <w:r>
        <w:t>C. СПЕЦИФИКАЦИИ КОМПОНЕНТА КАРТОЧКИ</w:t>
      </w:r>
    </w:p>
    <w:p>
      <w:pPr>
        <w:pStyle w:val="Heading3"/>
      </w:pPr>
      <w:r>
        <w:t>Главная карточка</w:t>
      </w:r>
    </w:p>
    <w:p>
      <w:pPr>
        <w:spacing w:before="0" w:after="0" w:line="280" w:lineRule="exact"/>
        <w:shd w:fill="F8F9FA" w:val="clear"/>
      </w:pPr>
      <w:r>
        <w:rPr>
          <w:rFonts w:ascii="Consolas" w:hAnsi="Consolas"/>
          <w:color w:val="2C3E50"/>
          <w:sz w:val="18"/>
        </w:rPr>
        <w:t>Width: 100%</w:t>
      </w:r>
    </w:p>
    <w:p>
      <w:pPr>
        <w:spacing w:before="0" w:after="0" w:line="280" w:lineRule="exact"/>
        <w:shd w:fill="F8F9FA" w:val="clear"/>
      </w:pPr>
      <w:r>
        <w:rPr>
          <w:rFonts w:ascii="Consolas" w:hAnsi="Consolas"/>
          <w:color w:val="2C3E50"/>
          <w:sz w:val="18"/>
        </w:rPr>
        <w:t>Height: 280px</w:t>
      </w:r>
    </w:p>
    <w:p>
      <w:pPr>
        <w:spacing w:before="0" w:after="0" w:line="280" w:lineRule="exact"/>
        <w:shd w:fill="F8F9FA" w:val="clear"/>
      </w:pPr>
      <w:r>
        <w:rPr>
          <w:rFonts w:ascii="Consolas" w:hAnsi="Consolas"/>
          <w:color w:val="2C3E50"/>
          <w:sz w:val="18"/>
        </w:rPr>
        <w:t>Background: Gradient or game-specific banner image</w:t>
      </w:r>
    </w:p>
    <w:p>
      <w:pPr>
        <w:spacing w:before="0" w:after="0" w:line="280" w:lineRule="exact"/>
        <w:shd w:fill="F8F9FA" w:val="clear"/>
      </w:pPr>
      <w:r>
        <w:rPr>
          <w:rFonts w:ascii="Consolas" w:hAnsi="Consolas"/>
          <w:color w:val="2C3E50"/>
          <w:sz w:val="18"/>
        </w:rPr>
        <w:t>Title: Bold, 24px, white</w:t>
      </w:r>
    </w:p>
    <w:p>
      <w:pPr>
        <w:spacing w:before="0" w:after="0" w:line="280" w:lineRule="exact"/>
        <w:shd w:fill="F8F9FA" w:val="clear"/>
      </w:pPr>
      <w:r>
        <w:rPr>
          <w:rFonts w:ascii="Consolas" w:hAnsi="Consolas"/>
          <w:color w:val="2C3E50"/>
          <w:sz w:val="18"/>
        </w:rPr>
        <w:t>Subtitle: 16px, white 80% opacity</w:t>
      </w:r>
    </w:p>
    <w:p>
      <w:pPr>
        <w:spacing w:before="0" w:after="0" w:line="280" w:lineRule="exact"/>
        <w:shd w:fill="F8F9FA" w:val="clear"/>
      </w:pPr>
      <w:r>
        <w:rPr>
          <w:rFonts w:ascii="Consolas" w:hAnsi="Consolas"/>
          <w:color w:val="2C3E50"/>
          <w:sz w:val="18"/>
        </w:rPr>
        <w:t>CTA Button: Primary brand color, 14px bold uppercase</w:t>
      </w:r>
    </w:p>
    <w:p>
      <w:pPr>
        <w:spacing w:before="0" w:after="0" w:line="280" w:lineRule="exact"/>
        <w:shd w:fill="F8F9FA" w:val="clear"/>
      </w:pPr>
      <w:r>
        <w:rPr>
          <w:rFonts w:ascii="Consolas" w:hAnsi="Consolas"/>
          <w:color w:val="2C3E50"/>
          <w:sz w:val="18"/>
        </w:rPr>
        <w:t>Countdown (if applicable): Live timer, 18px monospace</w:t>
      </w:r>
    </w:p>
    <w:p>
      <w:pPr>
        <w:pStyle w:val="Heading3"/>
      </w:pPr>
      <w:r>
        <w:t>Вспомогательная карточка</w:t>
      </w:r>
    </w:p>
    <w:p>
      <w:pPr>
        <w:spacing w:before="0" w:after="0" w:line="280" w:lineRule="exact"/>
        <w:shd w:fill="F8F9FA" w:val="clear"/>
      </w:pPr>
      <w:r>
        <w:rPr>
          <w:rFonts w:ascii="Consolas" w:hAnsi="Consolas"/>
          <w:color w:val="2C3E50"/>
          <w:sz w:val="18"/>
        </w:rPr>
        <w:t>Width: 48% (2-column grid with 4% gap)</w:t>
      </w:r>
    </w:p>
    <w:p>
      <w:pPr>
        <w:spacing w:before="0" w:after="0" w:line="280" w:lineRule="exact"/>
        <w:shd w:fill="F8F9FA" w:val="clear"/>
      </w:pPr>
      <w:r>
        <w:rPr>
          <w:rFonts w:ascii="Consolas" w:hAnsi="Consolas"/>
          <w:color w:val="2C3E50"/>
          <w:sz w:val="18"/>
        </w:rPr>
        <w:t>Height: 160px</w:t>
      </w:r>
    </w:p>
    <w:p>
      <w:pPr>
        <w:spacing w:before="0" w:after="0" w:line="280" w:lineRule="exact"/>
        <w:shd w:fill="F8F9FA" w:val="clear"/>
      </w:pPr>
      <w:r>
        <w:rPr>
          <w:rFonts w:ascii="Consolas" w:hAnsi="Consolas"/>
          <w:color w:val="2C3E50"/>
          <w:sz w:val="18"/>
        </w:rPr>
        <w:t>Background: Dark card, brand accent border</w:t>
      </w:r>
    </w:p>
    <w:p>
      <w:pPr>
        <w:spacing w:before="0" w:after="0" w:line="280" w:lineRule="exact"/>
        <w:shd w:fill="F8F9FA" w:val="clear"/>
      </w:pPr>
      <w:r>
        <w:rPr>
          <w:rFonts w:ascii="Consolas" w:hAnsi="Consolas"/>
          <w:color w:val="2C3E50"/>
          <w:sz w:val="18"/>
        </w:rPr>
        <w:t>Title: 16px bold</w:t>
      </w:r>
    </w:p>
    <w:p>
      <w:pPr>
        <w:spacing w:before="0" w:after="0" w:line="280" w:lineRule="exact"/>
        <w:shd w:fill="F8F9FA" w:val="clear"/>
      </w:pPr>
      <w:r>
        <w:rPr>
          <w:rFonts w:ascii="Consolas" w:hAnsi="Consolas"/>
          <w:color w:val="2C3E50"/>
          <w:sz w:val="18"/>
        </w:rPr>
        <w:t>Description: 13px, 2 lines max</w:t>
      </w:r>
    </w:p>
    <w:p>
      <w:pPr>
        <w:spacing w:before="0" w:after="0" w:line="280" w:lineRule="exact"/>
        <w:shd w:fill="F8F9FA" w:val="clear"/>
      </w:pPr>
      <w:r>
        <w:rPr>
          <w:rFonts w:ascii="Consolas" w:hAnsi="Consolas"/>
          <w:color w:val="2C3E50"/>
          <w:sz w:val="18"/>
        </w:rPr>
        <w:t>CTA: Secondary button or text link</w:t>
      </w:r>
    </w:p>
    <w:p>
      <w:pPr>
        <w:spacing w:before="120" w:after="120"/>
        <w:pBdr>
          <w:bottom w:val="single" w:sz="6" w:space="1" w:color="BDC3C7"/>
        </w:pBdr>
      </w:pPr>
    </w:p>
    <w:p>
      <w:pPr>
        <w:pStyle w:val="Heading2"/>
      </w:pPr>
      <w:r>
        <w:t>D. ОТСЛЕЖИВАНИЕ АНАЛИТИКИ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Событие</w:t>
            </w:r>
          </w:p>
        </w:tc>
        <w:tc>
          <w:tcPr>
            <w:tcW w:type="dxa" w:w="3135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Когда</w:t>
            </w:r>
          </w:p>
        </w:tc>
        <w:tc>
          <w:tcPr>
            <w:tcW w:type="dxa" w:w="3135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Данные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card_impression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Карточка видна в области просмотра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card_id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C0392B"/>
                <w:sz w:val="20"/>
              </w:rPr>
              <w:t>lifecycle_stage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C0392B"/>
                <w:sz w:val="20"/>
              </w:rPr>
              <w:t>position</w:t>
            </w:r>
          </w:p>
        </w:tc>
      </w:tr>
      <w:tr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card_click</w:t>
            </w:r>
          </w:p>
        </w:tc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Игрок нажимает CTA</w:t>
            </w:r>
          </w:p>
        </w:tc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card_id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C0392B"/>
                <w:sz w:val="20"/>
              </w:rPr>
              <w:t>lifecycle_stage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C0392B"/>
                <w:sz w:val="20"/>
              </w:rPr>
              <w:t>cta_text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card_conversion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Игрок завершает действие (депозит, игра и т.д.)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card_id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C0392B"/>
                <w:sz w:val="20"/>
              </w:rPr>
              <w:t>lifecycle_stage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C0392B"/>
                <w:sz w:val="20"/>
              </w:rPr>
              <w:t>conversion_value</w:t>
            </w:r>
          </w:p>
        </w:tc>
      </w:tr>
    </w:tbl>
    <w:p/>
    <w:p>
      <w:r>
        <w:rPr>
          <w:b/>
        </w:rPr>
        <w:t>Еженедельный отчёт:</w:t>
      </w:r>
    </w:p>
    <w:p>
      <w:pPr>
        <w:spacing w:before="20" w:after="20"/>
        <w:ind w:left="567" w:hanging="283"/>
      </w:pPr>
      <w:r>
        <w:t xml:space="preserve">• </w:t>
      </w:r>
      <w:r>
        <w:t>CTR карточек по стадии жизненного цикла</w:t>
      </w:r>
    </w:p>
    <w:p>
      <w:pPr>
        <w:spacing w:before="20" w:after="20"/>
        <w:ind w:left="567" w:hanging="283"/>
      </w:pPr>
      <w:r>
        <w:t xml:space="preserve">• </w:t>
      </w:r>
      <w:r>
        <w:t>Конверсия главной карточки</w:t>
      </w:r>
    </w:p>
    <w:p>
      <w:pPr>
        <w:spacing w:before="20" w:after="20"/>
        <w:ind w:left="567" w:hanging="283"/>
      </w:pPr>
      <w:r>
        <w:t xml:space="preserve">• </w:t>
      </w:r>
      <w:r>
        <w:t>Использование вкладок-фильтров (Casino vs Sports)</w:t>
      </w:r>
    </w:p>
    <w:p>
      <w:pPr>
        <w:spacing w:before="20" w:after="20"/>
        <w:ind w:left="567" w:hanging="283"/>
      </w:pPr>
      <w:r>
        <w:t xml:space="preserve">• </w:t>
      </w:r>
      <w:r>
        <w:t>Вовлечённость Lucky Wheel (до/после исправления)</w:t>
      </w:r>
    </w:p>
    <w:p>
      <w:pPr>
        <w:spacing w:before="120" w:after="120"/>
        <w:pBdr>
          <w:bottom w:val="single" w:sz="6" w:space="1" w:color="BDC3C7"/>
        </w:pBdr>
      </w:pPr>
    </w:p>
    <w:p>
      <w:pPr>
        <w:pStyle w:val="Heading2"/>
      </w:pPr>
      <w:r>
        <w:t>ЧЕК-ЛИСТ ТЕСТИРОВАНИЯ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Игрок до FTD видит приветственную главную карточку, а НЕ предложения пополнения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Игрок дня 1 видит главную карточку второго депозита с правильной игрой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Регулярный игрок видит главную карточку еженедельного пополнения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VIP-игрок видит персонализированное сообщение в главной карточке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Lucky Wheel показывает реальный обратный отсчёт (не 357 дней)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Карточка Lucky Wheel скрывается, если нет розыгрыша в течение 7 дней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Карточка спорта видна только во вкладке Deportes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Вкладка Casino по умолчанию для всех неспортивных игроков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Дублирующиеся приветственные карточки объединены в одну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Визуальная иерархия главная/вспомогательные чёткая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Карточки отслеживают показы и клики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Мобильная адаптивность (карточки стакаются вертикально)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Нет сдвига макета при переключении вкладок</w:t>
      </w:r>
    </w:p>
    <w:p>
      <w:pPr>
        <w:spacing w:before="120" w:after="120"/>
        <w:pBdr>
          <w:bottom w:val="single" w:sz="6" w:space="1" w:color="BDC3C7"/>
        </w:pBdr>
      </w:pPr>
    </w:p>
    <w:p>
      <w:pPr>
        <w:pStyle w:val="Heading2"/>
      </w:pPr>
      <w:r>
        <w:t>ЦЕЛЕВЫЕ KPI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Метрика</w:t>
            </w:r>
          </w:p>
        </w:tc>
        <w:tc>
          <w:tcPr>
            <w:tcW w:type="dxa" w:w="3135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Текущее</w:t>
            </w:r>
          </w:p>
        </w:tc>
        <w:tc>
          <w:tcPr>
            <w:tcW w:type="dxa" w:w="3135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Цель (4 недели)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CTR главной карточки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N/A (нет главной)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≥ 8%</w:t>
            </w:r>
          </w:p>
        </w:tc>
      </w:tr>
      <w:tr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Конверсия приветственного бонуса (до FTD)</w:t>
            </w:r>
          </w:p>
        </w:tc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Неизвестно</w:t>
            </w:r>
          </w:p>
        </w:tc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≥ 15%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Вовлечённость Lucky Wheel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Низкая (устаревший отсчёт)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2× от текущего</w:t>
            </w:r>
          </w:p>
        </w:tc>
      </w:tr>
      <w:tr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Использование вкладки Sports</w:t>
            </w:r>
          </w:p>
        </w:tc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N/A</w:t>
            </w:r>
          </w:p>
        </w:tc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Установить базовый уровень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Показатель отказов страницы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Высокий (предположительно)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-30%</w:t>
            </w:r>
          </w:p>
        </w:tc>
      </w:tr>
    </w:tbl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1A2E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2E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A1A2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A1A2E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