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Владимировна,</w:t>
      </w:r>
      <w:r>
        <w:t xml:space="preserve"> </w:t>
      </w:r>
      <w:r>
        <w:t xml:space="preserve">НБИбд-02-18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Получить практические навыки работы в консоли с атрибутами файлов для групп пользователей.</w:t>
      </w:r>
    </w:p>
    <w:bookmarkEnd w:id="21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Системы Linux издавна считаются наиболее пригодными в качестве многопользовательских сред. Концепции их построения таковы, что любой файл в системе</w:t>
      </w:r>
      <w:r>
        <w:t xml:space="preserve"> </w:t>
      </w:r>
      <w:r>
        <w:t xml:space="preserve">обязательно должен принадлежать какому-нибудь пользователю. Такой подход к к разграничению доступа называется дискреционным.</w:t>
      </w:r>
      <w:r>
        <w:t xml:space="preserve"> </w:t>
      </w:r>
      <w:r>
        <w:t xml:space="preserve">Он обеспечивает высокую надежность системы и безопасность ее файлов.</w:t>
      </w:r>
      <w:r>
        <w:t xml:space="preserve"> </w:t>
      </w:r>
      <w:hyperlink r:id="rId22">
        <w:r>
          <w:rPr>
            <w:rStyle w:val="Hyperlink"/>
          </w:rPr>
          <w:t xml:space="preserve">[1]</w:t>
        </w:r>
      </w:hyperlink>
    </w:p>
    <w:p>
      <w:pPr>
        <w:pStyle w:val="BodyText"/>
      </w:pPr>
      <w:r>
        <w:t xml:space="preserve">В операционной системе Linux каждому файлу и директории заданы разрешения доступа для владельца файла, членов группы владельца файла и всех остальных пользователей. Права могут быть заданы на:</w:t>
      </w:r>
    </w:p>
    <w:p>
      <w:pPr>
        <w:numPr>
          <w:ilvl w:val="0"/>
          <w:numId w:val="1001"/>
        </w:numPr>
        <w:pStyle w:val="Compact"/>
      </w:pPr>
      <w:r>
        <w:t xml:space="preserve">чтение (r) - разрешает получать содержимое файла или позволяет получить список файлов и каталогов, расположенных в директории;</w:t>
      </w:r>
    </w:p>
    <w:p>
      <w:pPr>
        <w:numPr>
          <w:ilvl w:val="0"/>
          <w:numId w:val="1001"/>
        </w:numPr>
        <w:pStyle w:val="Compact"/>
      </w:pPr>
      <w:r>
        <w:t xml:space="preserve">запись (w) - разрешает записывать новые данные в файл или изменять существующие или позволяет создавать и изменять файлы и каталоги;</w:t>
      </w:r>
    </w:p>
    <w:p>
      <w:pPr>
        <w:numPr>
          <w:ilvl w:val="0"/>
          <w:numId w:val="1001"/>
        </w:numPr>
        <w:pStyle w:val="Compact"/>
      </w:pPr>
      <w:r>
        <w:t xml:space="preserve">выполнение (x) - разрешает запустить файл или позволяет войти в директорию.</w:t>
      </w:r>
      <w:r>
        <w:t xml:space="preserve"> </w:t>
      </w:r>
      <w:hyperlink r:id="rId23">
        <w:r>
          <w:rPr>
            <w:rStyle w:val="Hyperlink"/>
          </w:rPr>
          <w:t xml:space="preserve">[2]</w:t>
        </w:r>
      </w:hyperlink>
    </w:p>
    <w:p>
      <w:pPr>
        <w:pStyle w:val="FirstParagraph"/>
      </w:pPr>
      <w:r>
        <w:t xml:space="preserve">Информация о разрешениях в выводе прав доступа содержит символ, определяющий тип файла (-, если обычный файл, d, если директория). Далее идет три набора из трех символов, которые представляют права доступа.</w:t>
      </w:r>
      <w:r>
        <w:t xml:space="preserve"> </w:t>
      </w:r>
      <w:r>
        <w:t xml:space="preserve">Первый набор из трех символов указывает права доступа владельца файла, второй — права группы файла, а последний указывает права доступа файла для всех остальных пользователей.</w:t>
      </w:r>
      <w:r>
        <w:t xml:space="preserve"> </w:t>
      </w:r>
      <w:hyperlink r:id="rId23">
        <w:r>
          <w:rPr>
            <w:rStyle w:val="Hyperlink"/>
          </w:rPr>
          <w:t xml:space="preserve">[2]</w:t>
        </w:r>
      </w:hyperlink>
    </w:p>
    <w:p>
      <w:pPr>
        <w:pStyle w:val="BodyText"/>
      </w:pPr>
      <w:r>
        <w:t xml:space="preserve">Сменить разрешения доступа к файлу или директории можно с помощью команды chmod. Для этого нужно указать желаемые настройки прав доступа для файла, файлов или директории, которые нужно изменить.</w:t>
      </w:r>
    </w:p>
    <w:bookmarkEnd w:id="24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 установленной операционной системе с помощью команды useradd guest1, используя учётную запись администратора, я попыталась создать учётную запись пользователя guest1.</w:t>
      </w:r>
      <w:r>
        <w:t xml:space="preserve"> </w:t>
      </w:r>
      <w:r>
        <w:t xml:space="preserve">Данный пользователь был создан в предыдущей лабораторной работе, новый пароль с помощью команды passwd guest1 задавать не стала. Аналогичным образом я создала второго пользователя</w:t>
      </w:r>
      <w:r>
        <w:t xml:space="preserve"> </w:t>
      </w:r>
      <w:r>
        <w:t xml:space="preserve">guest2 и задала для него пароль. Затем я добавила пользователя guest2 в группу guest1, воспользовавшись командой: gpasswd -a guest2 guest1. (</w:t>
      </w:r>
      <w:hyperlink r:id="rId25">
        <w:r>
          <w:rPr>
            <w:rStyle w:val="Hyperlink"/>
          </w:rPr>
          <w:t xml:space="preserve">рис. 1</w:t>
        </w:r>
      </w:hyperlink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4457850"/>
            <wp:effectExtent b="0" l="0" r="0" t="0"/>
            <wp:docPr descr="Рис 1. Создание и добавление пользователей в группу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 1. Создание и добавление пользователей в группу</w:t>
      </w:r>
    </w:p>
    <w:p>
      <w:pPr>
        <w:pStyle w:val="BodyText"/>
      </w:pPr>
      <w:r>
        <w:t xml:space="preserve">Далее я осуществите вход в систему от двух пользователей на двух разных консолях: guest1 на первой консоли и guest2 на второй консоли. Для них командой pwd определите директорию,</w:t>
      </w:r>
      <w:r>
        <w:t xml:space="preserve"> </w:t>
      </w:r>
      <w:r>
        <w:t xml:space="preserve">в которой я находилась. Сравните её с приглашениями командной строки и перешла в их домашнюю директорию. (</w:t>
      </w:r>
      <w:hyperlink r:id="rId28">
        <w:r>
          <w:rPr>
            <w:rStyle w:val="Hyperlink"/>
          </w:rPr>
          <w:t xml:space="preserve">рис. 2</w:t>
        </w:r>
      </w:hyperlink>
      <w:r>
        <w:t xml:space="preserve">)</w:t>
      </w:r>
    </w:p>
    <w:p>
      <w:pPr>
        <w:pStyle w:val="CaptionedFigure"/>
      </w:pPr>
      <w:bookmarkStart w:id="30" w:name="fig:002"/>
      <w:r>
        <w:drawing>
          <wp:inline>
            <wp:extent cx="5334000" cy="4431000"/>
            <wp:effectExtent b="0" l="0" r="0" t="0"/>
            <wp:docPr descr="Рис 2. Вход в систему от 2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 2. Вход в систему от 2 пользователей</w:t>
      </w:r>
    </w:p>
    <w:p>
      <w:pPr>
        <w:pStyle w:val="BodyText"/>
      </w:pPr>
      <w:r>
        <w:t xml:space="preserve">Уточнила имя пользователя, его группу, кто входит в неё и к каким группам принадлежит он сам. Определила командами groups guest1 и groups guest2, в какие группы входят пользователи</w:t>
      </w:r>
      <w:r>
        <w:t xml:space="preserve"> </w:t>
      </w:r>
      <w:r>
        <w:t xml:space="preserve">guest и guest2. Сравнила вывод команды groups с выводом команд id -Gn и id -G. Команда groups выводит имя пользователя и имена групп, в которые этот пользователь входит.</w:t>
      </w:r>
      <w:r>
        <w:t xml:space="preserve"> </w:t>
      </w:r>
      <w:r>
        <w:t xml:space="preserve">Команда id -Gn выводит имена групп, в которые пользователь входит. Команда id -G выводит идентификаторы групп, в которые пользователь входит.(</w:t>
      </w:r>
      <w:hyperlink r:id="rId31">
        <w:r>
          <w:rPr>
            <w:rStyle w:val="Hyperlink"/>
          </w:rPr>
          <w:t xml:space="preserve">рис. 3</w:t>
        </w:r>
      </w:hyperlink>
      <w:r>
        <w:t xml:space="preserve">)</w:t>
      </w:r>
    </w:p>
    <w:p>
      <w:pPr>
        <w:pStyle w:val="CaptionedFigure"/>
      </w:pPr>
      <w:bookmarkStart w:id="33" w:name="fig:003"/>
      <w:r>
        <w:drawing>
          <wp:inline>
            <wp:extent cx="5334000" cy="4417000"/>
            <wp:effectExtent b="0" l="0" r="0" t="0"/>
            <wp:docPr descr="Рис 3. Команды groups, id -Gn и id -G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 3. Команды groups, id -Gn и id -G</w:t>
      </w:r>
    </w:p>
    <w:p>
      <w:pPr>
        <w:pStyle w:val="BodyText"/>
      </w:pPr>
      <w:r>
        <w:t xml:space="preserve">Сравнила полученную информацию с содержимым файла /etc/group, просмотрев файл командой cat /etc/group. Команда выводит название и идентификатор группы, а также имена пользователей, не являющихся владельцем, но входящих</w:t>
      </w:r>
      <w:r>
        <w:t xml:space="preserve"> </w:t>
      </w:r>
      <w:r>
        <w:t xml:space="preserve">в данную группу.(</w:t>
      </w:r>
      <w:hyperlink r:id="rId34">
        <w:r>
          <w:rPr>
            <w:rStyle w:val="Hyperlink"/>
          </w:rPr>
          <w:t xml:space="preserve">рис. 4</w:t>
        </w:r>
      </w:hyperlink>
      <w:r>
        <w:t xml:space="preserve">)</w:t>
      </w:r>
    </w:p>
    <w:p>
      <w:pPr>
        <w:pStyle w:val="CaptionedFigure"/>
      </w:pPr>
      <w:bookmarkStart w:id="36" w:name="fig:004"/>
      <w:r>
        <w:drawing>
          <wp:inline>
            <wp:extent cx="5334000" cy="4407568"/>
            <wp:effectExtent b="0" l="0" r="0" t="0"/>
            <wp:docPr descr="Рис 4. Команда cat /etc/group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 4. Команда cat /etc/group</w:t>
      </w:r>
    </w:p>
    <w:p>
      <w:pPr>
        <w:pStyle w:val="BodyText"/>
      </w:pPr>
      <w:r>
        <w:t xml:space="preserve">Я выполнила регистрацию пользователя guest2 в группе guest1 командой newgrp guest1 от имени пользователя guest2. От имени пользователя</w:t>
      </w:r>
      <w:r>
        <w:t xml:space="preserve"> </w:t>
      </w:r>
      <w:r>
        <w:t xml:space="preserve">guest1 изменила права директории /home/guest1,разрешив все действия для пользователей группы, введя команду: chmod g+rwx /home/guest, а затем сняла с директории /home/guest1/dir1</w:t>
      </w:r>
      <w:r>
        <w:t xml:space="preserve"> </w:t>
      </w:r>
      <w:r>
        <w:t xml:space="preserve">все атрибуты командой chmod 000 dirl и проверила правильность снятия атрибутов с помощью команды ls -l. (</w:t>
      </w:r>
      <w:hyperlink r:id="rId37">
        <w:r>
          <w:rPr>
            <w:rStyle w:val="Hyperlink"/>
          </w:rPr>
          <w:t xml:space="preserve">рис. 5</w:t>
        </w:r>
      </w:hyperlink>
      <w:r>
        <w:t xml:space="preserve">)</w:t>
      </w:r>
    </w:p>
    <w:p>
      <w:pPr>
        <w:pStyle w:val="CaptionedFigure"/>
      </w:pPr>
      <w:bookmarkStart w:id="39" w:name="fig:005"/>
      <w:r>
        <w:drawing>
          <wp:inline>
            <wp:extent cx="5334000" cy="4431000"/>
            <wp:effectExtent b="0" l="0" r="0" t="0"/>
            <wp:docPr descr="Рис 5. Регистрация пользователя guest2 в группе guest1 и смена атрибутов директории dir1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 5. Регистрация пользователя guest2 в группе guest1 и смена атрибутов директории dir1</w:t>
      </w:r>
    </w:p>
    <w:p>
      <w:pPr>
        <w:pStyle w:val="BodyText"/>
      </w:pPr>
      <w:r>
        <w:t xml:space="preserve">Изменяя атрибуты у директории dir1 и файла file1 от имени пользователя guest1 и делая проверку от пользователя guest2, заполнила таблицу</w:t>
      </w:r>
      <w:r>
        <w:t xml:space="preserve"> </w:t>
      </w:r>
      <w:r>
        <w:t xml:space="preserve">[-@tbl:rig-act]</w:t>
      </w:r>
      <w:r>
        <w:t xml:space="preserve">, определив опытным путём,</w:t>
      </w:r>
      <w:r>
        <w:t xml:space="preserve"> </w:t>
      </w:r>
      <w:r>
        <w:t xml:space="preserve">какие операции разрешены, а какие нет. Если операция разрешена, заносила в таблицу знак «+», если не разрешена, знак «-». (</w:t>
      </w:r>
      <w:hyperlink r:id="rId40">
        <w:r>
          <w:rPr>
            <w:rStyle w:val="Hyperlink"/>
          </w:rPr>
          <w:t xml:space="preserve">рис. 6</w:t>
        </w:r>
      </w:hyperlink>
      <w:r>
        <w:t xml:space="preserve">). Сравнила её с таблицей из лабораторной работы № 2.</w:t>
      </w:r>
      <w:r>
        <w:t xml:space="preserve"> </w:t>
      </w:r>
      <w:r>
        <w:t xml:space="preserve">Таблицы почти идентичны. Разница состоит только в том, что просмотр содержимого директории возможен при наличии прав на чтение директории, т.е. d(040), d(050), d(060) и d(070).</w:t>
      </w:r>
    </w:p>
    <w:p>
      <w:pPr>
        <w:pStyle w:val="CaptionedFigure"/>
      </w:pPr>
      <w:bookmarkStart w:id="42" w:name="fig:006"/>
      <w:r>
        <w:drawing>
          <wp:inline>
            <wp:extent cx="5334000" cy="2082256"/>
            <wp:effectExtent b="0" l="0" r="0" t="0"/>
            <wp:docPr descr="Рис 6. Заполнение таблицы и проверка разрешённых действи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 6. Заполнение таблицы и проверка разрешённых действий</w:t>
      </w:r>
    </w:p>
    <w:p>
      <w:pPr>
        <w:pStyle w:val="BodyText"/>
      </w:pPr>
      <w:r>
        <w:t xml:space="preserve">Обозначения в таблице:</w:t>
      </w:r>
    </w:p>
    <w:p>
      <w:pPr>
        <w:numPr>
          <w:ilvl w:val="0"/>
          <w:numId w:val="1002"/>
        </w:numPr>
        <w:pStyle w:val="Compact"/>
      </w:pPr>
      <w:r>
        <w:t xml:space="preserve">Создание файла</w:t>
      </w:r>
    </w:p>
    <w:p>
      <w:pPr>
        <w:numPr>
          <w:ilvl w:val="0"/>
          <w:numId w:val="1002"/>
        </w:numPr>
        <w:pStyle w:val="Compact"/>
      </w:pPr>
      <w:r>
        <w:t xml:space="preserve">Удаление файла</w:t>
      </w:r>
    </w:p>
    <w:p>
      <w:pPr>
        <w:numPr>
          <w:ilvl w:val="0"/>
          <w:numId w:val="1002"/>
        </w:numPr>
        <w:pStyle w:val="Compact"/>
      </w:pPr>
      <w:r>
        <w:t xml:space="preserve">Запись в файл</w:t>
      </w:r>
    </w:p>
    <w:p>
      <w:pPr>
        <w:numPr>
          <w:ilvl w:val="0"/>
          <w:numId w:val="1002"/>
        </w:numPr>
        <w:pStyle w:val="Compact"/>
      </w:pPr>
      <w:r>
        <w:t xml:space="preserve">Чтение файла</w:t>
      </w:r>
    </w:p>
    <w:p>
      <w:pPr>
        <w:numPr>
          <w:ilvl w:val="0"/>
          <w:numId w:val="1002"/>
        </w:numPr>
        <w:pStyle w:val="Compact"/>
      </w:pPr>
      <w:r>
        <w:t xml:space="preserve">Смена директории</w:t>
      </w:r>
    </w:p>
    <w:p>
      <w:pPr>
        <w:numPr>
          <w:ilvl w:val="0"/>
          <w:numId w:val="1002"/>
        </w:numPr>
        <w:pStyle w:val="Compact"/>
      </w:pPr>
      <w:r>
        <w:t xml:space="preserve">Просмотр файлов в директории</w:t>
      </w:r>
    </w:p>
    <w:p>
      <w:pPr>
        <w:numPr>
          <w:ilvl w:val="0"/>
          <w:numId w:val="1002"/>
        </w:numPr>
        <w:pStyle w:val="Compact"/>
      </w:pPr>
      <w:r>
        <w:t xml:space="preserve">Переименование файл</w:t>
      </w:r>
    </w:p>
    <w:p>
      <w:pPr>
        <w:numPr>
          <w:ilvl w:val="0"/>
          <w:numId w:val="1002"/>
        </w:numPr>
        <w:pStyle w:val="Compact"/>
      </w:pPr>
      <w:r>
        <w:t xml:space="preserve">Смена атрибутов файла</w:t>
      </w:r>
    </w:p>
    <w:p>
      <w:pPr>
        <w:pStyle w:val="TableCaption"/>
      </w:pPr>
      <w:r>
        <w:t xml:space="preserve">Установленные права и разрешённые действия для групп {#tbl:rig-act}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Установленные права и разрешённые действия для групп {#tbl:rig-act}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На основании заполненной таблицы я определила те или иные минимально необходимые права для выполнения пользователем guest2 операций внутри директории dir1</w:t>
      </w:r>
      <w:r>
        <w:t xml:space="preserve"> </w:t>
      </w:r>
      <w:r>
        <w:t xml:space="preserve">и заполнила таблицу</w:t>
      </w:r>
      <w:r>
        <w:t xml:space="preserve"> </w:t>
      </w:r>
      <w:r>
        <w:t xml:space="preserve">[-@tbl:min-rig]</w:t>
      </w:r>
      <w:r>
        <w:t xml:space="preserve">. Для заполнения последних двух строк опытным путем проверила минимальные права для создания и удаления поддиректории. (</w:t>
      </w:r>
      <w:hyperlink r:id="rId43">
        <w:r>
          <w:rPr>
            <w:rStyle w:val="Hyperlink"/>
          </w:rPr>
          <w:t xml:space="preserve">рис. 7</w:t>
        </w:r>
      </w:hyperlink>
      <w:r>
        <w:t xml:space="preserve">)</w:t>
      </w:r>
    </w:p>
    <w:p>
      <w:pPr>
        <w:pStyle w:val="CaptionedFigure"/>
      </w:pPr>
      <w:bookmarkStart w:id="45" w:name="fig:007"/>
      <w:r>
        <w:drawing>
          <wp:inline>
            <wp:extent cx="5334000" cy="4571999"/>
            <wp:effectExtent b="0" l="0" r="0" t="0"/>
            <wp:docPr descr="Рис 7. Заполнение таблицы “Минимальные права для совершения операций от имени пользователей, входящих в группу”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 7. Заполнение таблицы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 от имени пользователей, входящих в группу</w:t>
      </w:r>
      <w:r>
        <w:t xml:space="preserve">”</w:t>
      </w:r>
    </w:p>
    <w:p>
      <w:pPr>
        <w:pStyle w:val="TableCaption"/>
      </w:pPr>
      <w:r>
        <w:t xml:space="preserve">Минимальные права для совершения операций {#tbl:min-rig}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Минимальные права для совершения операций {#tbl:min-rig}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d—-wx—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d—-wx—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d—–x—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—-r—– (040)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d—–x—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—–w—- (020)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d—-wx—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d—-wx—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d—-wx—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</w:tbl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получила практические навыки работы в консоли с атрибутами файлов для групп пользователей.</w:t>
      </w:r>
    </w:p>
    <w:bookmarkEnd w:id="47"/>
    <w:bookmarkStart w:id="4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hyperlink r:id="rId22">
        <w:r>
          <w:rPr>
            <w:rStyle w:val="Hyperlink"/>
          </w:rPr>
          <w:t xml:space="preserve">Теория разграничения прав пользователей</w:t>
        </w:r>
      </w:hyperlink>
    </w:p>
    <w:p>
      <w:pPr>
        <w:numPr>
          <w:ilvl w:val="0"/>
          <w:numId w:val="1003"/>
        </w:numPr>
        <w:pStyle w:val="Compact"/>
      </w:pPr>
      <w:hyperlink r:id="rId23">
        <w:r>
          <w:rPr>
            <w:rStyle w:val="Hyperlink"/>
          </w:rPr>
          <w:t xml:space="preserve">Разрешения доступа к файлам</w:t>
        </w:r>
      </w:hyperlink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31">
    <w:nsid w:val="A99731"/>
    <w:multiLevelType w:val="multilevel"/>
    <w:lvl w:ilvl="0">
      <w:start w:val="1"/>
      <w:numFmt w:val="lowerLetter"/>
      <w:lvlText w:val="(%1)"/>
      <w:lvlJc w:val="left"/>
      <w:pPr>
        <w:ind w:left="720" w:hanging="480"/>
      </w:pPr>
    </w:lvl>
    <w:lvl w:ilvl="1">
      <w:start w:val="1"/>
      <w:numFmt w:val="lowerLetter"/>
      <w:lvlText w:val="(%2)"/>
      <w:lvlJc w:val="left"/>
      <w:pPr>
        <w:ind w:left="1440" w:hanging="480"/>
      </w:pPr>
    </w:lvl>
    <w:lvl w:ilvl="2">
      <w:start w:val="1"/>
      <w:numFmt w:val="lowerLetter"/>
      <w:lvlText w:val="(%3)"/>
      <w:lvlJc w:val="left"/>
      <w:pPr>
        <w:ind w:left="2160" w:hanging="480"/>
      </w:pPr>
    </w:lvl>
    <w:lvl w:ilvl="3">
      <w:start w:val="1"/>
      <w:numFmt w:val="lowerLetter"/>
      <w:lvlText w:val="(%4)"/>
      <w:lvlJc w:val="left"/>
      <w:pPr>
        <w:ind w:left="2880" w:hanging="480"/>
      </w:pPr>
    </w:lvl>
    <w:lvl w:ilvl="4">
      <w:start w:val="1"/>
      <w:numFmt w:val="lowerLetter"/>
      <w:lvlText w:val="(%5)"/>
      <w:lvlJc w:val="left"/>
      <w:pPr>
        <w:ind w:left="3600" w:hanging="480"/>
      </w:pPr>
    </w:lvl>
    <w:lvl w:ilvl="5">
      <w:start w:val="1"/>
      <w:numFmt w:val="lowerLetter"/>
      <w:lvlText w:val="(%6)"/>
      <w:lvlJc w:val="left"/>
      <w:pPr>
        <w:ind w:left="4320" w:hanging="480"/>
      </w:pPr>
    </w:lvl>
    <w:lvl w:ilvl="6">
      <w:start w:val="1"/>
      <w:numFmt w:val="lowerLetter"/>
      <w:lvlText w:val="(%7)"/>
      <w:lvlJc w:val="left"/>
      <w:pPr>
        <w:ind w:left="5040" w:hanging="480"/>
      </w:pPr>
    </w:lvl>
    <w:lvl w:ilvl="7">
      <w:start w:val="1"/>
      <w:numFmt w:val="lowerLetter"/>
      <w:lvlText w:val="(%8)"/>
      <w:lvlJc w:val="left"/>
      <w:pPr>
        <w:ind w:left="5760" w:hanging="480"/>
      </w:pPr>
    </w:lvl>
    <w:lvl w:ilvl="8">
      <w:start w:val="1"/>
      <w:numFmt w:val="lowerLetter"/>
      <w:lvlText w:val="(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23" Target="https://linuxcommand.ru/razresheniya-dostupa-k-failam/" TargetMode="External" /><Relationship Type="http://schemas.openxmlformats.org/officeDocument/2006/relationships/hyperlink" Id="rId22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Relationship Type="http://schemas.openxmlformats.org/officeDocument/2006/relationships/hyperlink" Id="rId25" Target="image/1.png" TargetMode="External" /><Relationship Type="http://schemas.openxmlformats.org/officeDocument/2006/relationships/hyperlink" Id="rId28" Target="image/2.png" TargetMode="External" /><Relationship Type="http://schemas.openxmlformats.org/officeDocument/2006/relationships/hyperlink" Id="rId31" Target="image/3.png" TargetMode="External" /><Relationship Type="http://schemas.openxmlformats.org/officeDocument/2006/relationships/hyperlink" Id="rId34" Target="image/4.png" TargetMode="External" /><Relationship Type="http://schemas.openxmlformats.org/officeDocument/2006/relationships/hyperlink" Id="rId37" Target="image/5.png" TargetMode="External" /><Relationship Type="http://schemas.openxmlformats.org/officeDocument/2006/relationships/hyperlink" Id="rId40" Target="image/6.png" TargetMode="External" /><Relationship Type="http://schemas.openxmlformats.org/officeDocument/2006/relationships/hyperlink" Id="rId43" Target="image/7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linuxcommand.ru/razresheniya-dostupa-k-failam/" TargetMode="External" /><Relationship Type="http://schemas.openxmlformats.org/officeDocument/2006/relationships/hyperlink" Id="rId22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Relationship Type="http://schemas.openxmlformats.org/officeDocument/2006/relationships/hyperlink" Id="rId25" Target="image/1.png" TargetMode="External" /><Relationship Type="http://schemas.openxmlformats.org/officeDocument/2006/relationships/hyperlink" Id="rId28" Target="image/2.png" TargetMode="External" /><Relationship Type="http://schemas.openxmlformats.org/officeDocument/2006/relationships/hyperlink" Id="rId31" Target="image/3.png" TargetMode="External" /><Relationship Type="http://schemas.openxmlformats.org/officeDocument/2006/relationships/hyperlink" Id="rId34" Target="image/4.png" TargetMode="External" /><Relationship Type="http://schemas.openxmlformats.org/officeDocument/2006/relationships/hyperlink" Id="rId37" Target="image/5.png" TargetMode="External" /><Relationship Type="http://schemas.openxmlformats.org/officeDocument/2006/relationships/hyperlink" Id="rId40" Target="image/6.png" TargetMode="External" /><Relationship Type="http://schemas.openxmlformats.org/officeDocument/2006/relationships/hyperlink" Id="rId43" Target="image/7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Ханина Ирина Владимировна, НБИбд-02-18</dc:creator>
  <dc:language>ru-RU</dc:language>
  <cp:keywords/>
  <dcterms:created xsi:type="dcterms:W3CDTF">2021-10-07T16:08:28Z</dcterms:created>
  <dcterms:modified xsi:type="dcterms:W3CDTF">2021-10-07T16:08:28Z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Дискреционное разграничение прав в Linux. Два пользователя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