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Звіт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студента ПЗ-22-3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Казаніковіа Іллі Івановича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9 варіант 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Варіант 9. Перемістити файли в інший каталог.</w:t>
      </w:r>
    </w:p>
    <w:p w:rsidR="00000000" w:rsidDel="00000000" w:rsidP="00000000" w:rsidRDefault="00000000" w:rsidRPr="00000000" w14:paraId="00000007">
      <w:pPr>
        <w:ind w:left="720" w:firstLine="0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До переміщення: </w:t>
      </w:r>
      <w:r w:rsidDel="00000000" w:rsidR="00000000" w:rsidRPr="00000000">
        <w:rPr>
          <w:sz w:val="15"/>
          <w:szCs w:val="15"/>
        </w:rPr>
        <w:drawing>
          <wp:inline distB="114300" distT="114300" distL="114300" distR="114300">
            <wp:extent cx="5731200" cy="11176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15"/>
          <w:szCs w:val="15"/>
        </w:rPr>
      </w:pPr>
      <w:r w:rsidDel="00000000" w:rsidR="00000000" w:rsidRPr="00000000">
        <w:rPr>
          <w:sz w:val="15"/>
          <w:szCs w:val="15"/>
        </w:rPr>
        <w:drawing>
          <wp:inline distB="114300" distT="114300" distL="114300" distR="114300">
            <wp:extent cx="5731200" cy="11811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Після переміщення:</w:t>
      </w:r>
    </w:p>
    <w:p w:rsidR="00000000" w:rsidDel="00000000" w:rsidP="00000000" w:rsidRDefault="00000000" w:rsidRPr="00000000" w14:paraId="0000000C">
      <w:pPr>
        <w:ind w:left="720" w:firstLine="0"/>
        <w:rPr>
          <w:sz w:val="15"/>
          <w:szCs w:val="15"/>
        </w:rPr>
      </w:pPr>
      <w:r w:rsidDel="00000000" w:rsidR="00000000" w:rsidRPr="00000000">
        <w:rPr>
          <w:sz w:val="15"/>
          <w:szCs w:val="15"/>
        </w:rPr>
        <w:drawing>
          <wp:inline distB="114300" distT="114300" distL="114300" distR="114300">
            <wp:extent cx="5731200" cy="876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15"/>
          <w:szCs w:val="15"/>
        </w:rPr>
      </w:pPr>
      <w:r w:rsidDel="00000000" w:rsidR="00000000" w:rsidRPr="00000000">
        <w:rPr>
          <w:sz w:val="15"/>
          <w:szCs w:val="15"/>
        </w:rPr>
        <w:drawing>
          <wp:inline distB="114300" distT="114300" distL="114300" distR="114300">
            <wp:extent cx="5731200" cy="10668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5"/>
          <w:szCs w:val="15"/>
        </w:rPr>
        <w:drawing>
          <wp:inline distB="114300" distT="114300" distL="114300" distR="114300">
            <wp:extent cx="5731200" cy="10287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умова “Робота з вказаним каталогом (передається</w:t>
      </w:r>
    </w:p>
    <w:p w:rsidR="00000000" w:rsidDel="00000000" w:rsidP="00000000" w:rsidRDefault="00000000" w:rsidRPr="00000000" w14:paraId="00000011">
      <w:pPr>
        <w:ind w:left="720" w:firstLine="0"/>
        <w:rPr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як параметр утиліти)” реалізована в коді : </w:t>
      </w:r>
      <w:r w:rsidDel="00000000" w:rsidR="00000000" w:rsidRPr="00000000">
        <w:rPr>
          <w:sz w:val="15"/>
          <w:szCs w:val="15"/>
          <w:rtl w:val="0"/>
        </w:rPr>
        <w:br w:type="textWrapping"/>
      </w:r>
      <w:r w:rsidDel="00000000" w:rsidR="00000000" w:rsidRPr="00000000">
        <w:rPr>
          <w:sz w:val="15"/>
          <w:szCs w:val="15"/>
        </w:rPr>
        <w:drawing>
          <wp:inline distB="114300" distT="114300" distL="114300" distR="114300">
            <wp:extent cx="5731200" cy="32385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Робота з вказаними файлами за шаблоном (наприклад, *.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exe):</w:t>
      </w:r>
    </w:p>
    <w:p w:rsidR="00000000" w:rsidDel="00000000" w:rsidP="00000000" w:rsidRDefault="00000000" w:rsidRPr="00000000" w14:paraId="00000015">
      <w:pPr>
        <w:ind w:left="720" w:firstLine="0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15"/>
          <w:szCs w:val="15"/>
        </w:rPr>
      </w:pPr>
      <w:r w:rsidDel="00000000" w:rsidR="00000000" w:rsidRPr="00000000">
        <w:rPr>
          <w:sz w:val="15"/>
          <w:szCs w:val="15"/>
        </w:rPr>
        <w:drawing>
          <wp:inline distB="114300" distT="114300" distL="114300" distR="114300">
            <wp:extent cx="2162175" cy="29527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15"/>
          <w:szCs w:val="15"/>
        </w:rPr>
      </w:pPr>
      <w:r w:rsidDel="00000000" w:rsidR="00000000" w:rsidRPr="00000000">
        <w:rPr>
          <w:sz w:val="15"/>
          <w:szCs w:val="15"/>
        </w:rPr>
        <w:drawing>
          <wp:inline distB="114300" distT="114300" distL="114300" distR="114300">
            <wp:extent cx="4800600" cy="609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15"/>
          <w:szCs w:val="15"/>
        </w:rPr>
      </w:pPr>
      <w:r w:rsidDel="00000000" w:rsidR="00000000" w:rsidRPr="00000000">
        <w:rPr>
          <w:sz w:val="15"/>
          <w:szCs w:val="15"/>
        </w:rPr>
        <w:drawing>
          <wp:inline distB="114300" distT="114300" distL="114300" distR="114300">
            <wp:extent cx="5731200" cy="24638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Розбір та інтерпретація параметрів командного рядка: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змінне число параметрів:</w:t>
      </w:r>
    </w:p>
    <w:p w:rsidR="00000000" w:rsidDel="00000000" w:rsidP="00000000" w:rsidRDefault="00000000" w:rsidRPr="00000000" w14:paraId="0000001E">
      <w:pPr>
        <w:ind w:left="720" w:firstLine="0"/>
        <w:rPr>
          <w:sz w:val="15"/>
          <w:szCs w:val="1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15"/>
          <w:szCs w:val="15"/>
          <w:shd w:fill="faf9f8" w:val="clear"/>
        </w:rPr>
      </w:pPr>
      <w:r w:rsidDel="00000000" w:rsidR="00000000" w:rsidRPr="00000000">
        <w:rPr>
          <w:sz w:val="15"/>
          <w:szCs w:val="15"/>
          <w:shd w:fill="faf9f8" w:val="clear"/>
        </w:rPr>
        <w:drawing>
          <wp:inline distB="114300" distT="114300" distL="114300" distR="114300">
            <wp:extent cx="5731200" cy="3479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15"/>
          <w:szCs w:val="1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Режим підказки: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підтримується: </w:t>
      </w:r>
    </w:p>
    <w:p w:rsidR="00000000" w:rsidDel="00000000" w:rsidP="00000000" w:rsidRDefault="00000000" w:rsidRPr="00000000" w14:paraId="00000023">
      <w:pPr>
        <w:ind w:left="720" w:firstLine="0"/>
        <w:rPr>
          <w:sz w:val="15"/>
          <w:szCs w:val="15"/>
          <w:shd w:fill="faf9f8" w:val="clear"/>
        </w:rPr>
      </w:pPr>
      <w:r w:rsidDel="00000000" w:rsidR="00000000" w:rsidRPr="00000000">
        <w:rPr>
          <w:sz w:val="15"/>
          <w:szCs w:val="15"/>
          <w:shd w:fill="faf9f8" w:val="clear"/>
        </w:rPr>
        <w:drawing>
          <wp:inline distB="114300" distT="114300" distL="114300" distR="114300">
            <wp:extent cx="5731200" cy="32893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15"/>
          <w:szCs w:val="1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15"/>
          <w:szCs w:val="1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15"/>
          <w:szCs w:val="15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rtl w:val="0"/>
        </w:rPr>
        <w:t xml:space="preserve">Програма формує коди завершення:</w:t>
      </w:r>
    </w:p>
    <w:p w:rsidR="00000000" w:rsidDel="00000000" w:rsidP="00000000" w:rsidRDefault="00000000" w:rsidRPr="00000000" w14:paraId="00000028">
      <w:pPr>
        <w:ind w:left="720" w:firstLine="0"/>
        <w:rPr>
          <w:sz w:val="15"/>
          <w:szCs w:val="15"/>
        </w:rPr>
      </w:pPr>
      <w:r w:rsidDel="00000000" w:rsidR="00000000" w:rsidRPr="00000000">
        <w:rPr>
          <w:sz w:val="15"/>
          <w:szCs w:val="15"/>
        </w:rPr>
        <w:drawing>
          <wp:inline distB="114300" distT="114300" distL="114300" distR="114300">
            <wp:extent cx="5731200" cy="16256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rtl w:val="0"/>
        </w:rPr>
        <w:t xml:space="preserve">Програмою враховуються атрибути файлів (прихований, тільки читання, архівний):</w:t>
      </w:r>
      <w:r w:rsidDel="00000000" w:rsidR="00000000" w:rsidRPr="00000000">
        <w:rPr>
          <w:sz w:val="15"/>
          <w:szCs w:val="15"/>
          <w:shd w:fill="faf9f8" w:val="clear"/>
          <w:rtl w:val="0"/>
        </w:rPr>
        <w:br w:type="textWrapping"/>
        <w:br w:type="textWrapping"/>
      </w:r>
      <w:r w:rsidDel="00000000" w:rsidR="00000000" w:rsidRPr="00000000">
        <w:rPr>
          <w:sz w:val="15"/>
          <w:szCs w:val="15"/>
          <w:shd w:fill="faf9f8" w:val="clear"/>
        </w:rPr>
        <w:drawing>
          <wp:inline distB="114300" distT="114300" distL="114300" distR="114300">
            <wp:extent cx="5731200" cy="10795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17" Type="http://schemas.openxmlformats.org/officeDocument/2006/relationships/image" Target="media/image1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18" Type="http://schemas.openxmlformats.org/officeDocument/2006/relationships/image" Target="media/image4.png"/><Relationship Id="rId7" Type="http://schemas.openxmlformats.org/officeDocument/2006/relationships/image" Target="media/image1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