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40"/>
          <w:szCs w:val="40"/>
          <w:highlight w:val="white"/>
        </w:rPr>
      </w:pPr>
      <w:r w:rsidDel="00000000" w:rsidR="00000000" w:rsidRPr="00000000">
        <w:rPr>
          <w:rtl w:val="0"/>
        </w:rPr>
        <w:t xml:space="preserve"> </w:t>
      </w:r>
      <w:r w:rsidDel="00000000" w:rsidR="00000000" w:rsidRPr="00000000">
        <w:rPr>
          <w:sz w:val="40"/>
          <w:szCs w:val="40"/>
          <w:highlight w:val="white"/>
          <w:rtl w:val="0"/>
        </w:rPr>
        <w:t xml:space="preserve">Data Repository Access [tested on December 23, 2024]</w:t>
      </w:r>
    </w:p>
    <w:p w:rsidR="00000000" w:rsidDel="00000000" w:rsidP="00000000" w:rsidRDefault="00000000" w:rsidRPr="00000000" w14:paraId="00000002">
      <w:pPr>
        <w:rPr>
          <w:b w:val="1"/>
          <w:highlight w:val="white"/>
        </w:rPr>
      </w:pPr>
      <w:r w:rsidDel="00000000" w:rsidR="00000000" w:rsidRPr="00000000">
        <w:rPr>
          <w:rtl w:val="0"/>
        </w:rPr>
      </w:r>
    </w:p>
    <w:p w:rsidR="00000000" w:rsidDel="00000000" w:rsidP="00000000" w:rsidRDefault="00000000" w:rsidRPr="00000000" w14:paraId="00000003">
      <w:pPr>
        <w:rPr>
          <w:highlight w:val="white"/>
        </w:rPr>
      </w:pPr>
      <w:r w:rsidDel="00000000" w:rsidR="00000000" w:rsidRPr="00000000">
        <w:rPr>
          <w:highlight w:val="white"/>
          <w:rtl w:val="0"/>
        </w:rPr>
        <w:t xml:space="preserve">DUOS can be accessed using any Google or Microsoft account. First open to the DUOS website at </w:t>
      </w:r>
      <w:hyperlink r:id="rId6">
        <w:r w:rsidDel="00000000" w:rsidR="00000000" w:rsidRPr="00000000">
          <w:rPr>
            <w:color w:val="1155cc"/>
            <w:highlight w:val="white"/>
            <w:u w:val="single"/>
            <w:rtl w:val="0"/>
          </w:rPr>
          <w:t xml:space="preserve">https://duos.broadinstitute.org/</w:t>
        </w:r>
      </w:hyperlink>
      <w:r w:rsidDel="00000000" w:rsidR="00000000" w:rsidRPr="00000000">
        <w:rPr>
          <w:highlight w:val="white"/>
          <w:rtl w:val="0"/>
        </w:rPr>
        <w:t xml:space="preserve"> . On the home page, click on the </w:t>
      </w:r>
      <w:r w:rsidDel="00000000" w:rsidR="00000000" w:rsidRPr="00000000">
        <w:rPr>
          <w:b w:val="1"/>
          <w:highlight w:val="white"/>
          <w:rtl w:val="0"/>
        </w:rPr>
        <w:t xml:space="preserve">Sign In</w:t>
      </w:r>
      <w:r w:rsidDel="00000000" w:rsidR="00000000" w:rsidRPr="00000000">
        <w:rPr>
          <w:highlight w:val="white"/>
          <w:rtl w:val="0"/>
        </w:rPr>
        <w:t xml:space="preserve"> button.</w:t>
      </w:r>
    </w:p>
    <w:p w:rsidR="00000000" w:rsidDel="00000000" w:rsidP="00000000" w:rsidRDefault="00000000" w:rsidRPr="00000000" w14:paraId="00000004">
      <w:pPr>
        <w:rPr>
          <w:highlight w:val="white"/>
        </w:rPr>
      </w:pPr>
      <w:r w:rsidDel="00000000" w:rsidR="00000000" w:rsidRPr="00000000">
        <w:rPr>
          <w:highlight w:val="white"/>
        </w:rPr>
        <w:drawing>
          <wp:inline distB="114300" distT="114300" distL="114300" distR="114300">
            <wp:extent cx="5090558" cy="2976563"/>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90558"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highlight w:val="white"/>
        </w:rPr>
      </w:pPr>
      <w:r w:rsidDel="00000000" w:rsidR="00000000" w:rsidRPr="00000000">
        <w:rPr>
          <w:rtl w:val="0"/>
        </w:rPr>
      </w:r>
    </w:p>
    <w:p w:rsidR="00000000" w:rsidDel="00000000" w:rsidP="00000000" w:rsidRDefault="00000000" w:rsidRPr="00000000" w14:paraId="00000006">
      <w:pPr>
        <w:rPr>
          <w:b w:val="1"/>
          <w:highlight w:val="white"/>
        </w:rPr>
      </w:pPr>
      <w:r w:rsidDel="00000000" w:rsidR="00000000" w:rsidRPr="00000000">
        <w:rPr>
          <w:highlight w:val="white"/>
          <w:rtl w:val="0"/>
        </w:rPr>
        <w:t xml:space="preserve">In this example, we use a Google account, and therefore we select </w:t>
      </w:r>
      <w:r w:rsidDel="00000000" w:rsidR="00000000" w:rsidRPr="00000000">
        <w:rPr>
          <w:b w:val="1"/>
          <w:highlight w:val="white"/>
          <w:rtl w:val="0"/>
        </w:rPr>
        <w:t xml:space="preserve">Sign in with Google</w:t>
      </w:r>
      <w:r w:rsidDel="00000000" w:rsidR="00000000" w:rsidRPr="00000000">
        <w:rPr>
          <w:highlight w:val="white"/>
          <w:rtl w:val="0"/>
        </w:rPr>
        <w:t xml:space="preserve">. To sign in with a Microsoft account, we would have used </w:t>
      </w:r>
      <w:r w:rsidDel="00000000" w:rsidR="00000000" w:rsidRPr="00000000">
        <w:rPr>
          <w:b w:val="1"/>
          <w:highlight w:val="white"/>
          <w:rtl w:val="0"/>
        </w:rPr>
        <w:t xml:space="preserve">Sign in with Microsoft.</w:t>
      </w:r>
    </w:p>
    <w:p w:rsidR="00000000" w:rsidDel="00000000" w:rsidP="00000000" w:rsidRDefault="00000000" w:rsidRPr="00000000" w14:paraId="00000007">
      <w:pPr>
        <w:rPr>
          <w:highlight w:val="white"/>
        </w:rPr>
      </w:pPr>
      <w:r w:rsidDel="00000000" w:rsidR="00000000" w:rsidRPr="00000000">
        <w:rPr>
          <w:highlight w:val="white"/>
        </w:rPr>
        <w:drawing>
          <wp:inline distB="114300" distT="114300" distL="114300" distR="114300">
            <wp:extent cx="2207578" cy="1947863"/>
            <wp:effectExtent b="0" l="0" r="0" t="0"/>
            <wp:docPr id="5" name="image10.png"/>
            <a:graphic>
              <a:graphicData uri="http://schemas.openxmlformats.org/drawingml/2006/picture">
                <pic:pic>
                  <pic:nvPicPr>
                    <pic:cNvPr id="0" name="image10.png"/>
                    <pic:cNvPicPr preferRelativeResize="0"/>
                  </pic:nvPicPr>
                  <pic:blipFill>
                    <a:blip r:embed="rId8"/>
                    <a:srcRect b="37450" l="28333" r="28055" t="11472"/>
                    <a:stretch>
                      <a:fillRect/>
                    </a:stretch>
                  </pic:blipFill>
                  <pic:spPr>
                    <a:xfrm>
                      <a:off x="0" y="0"/>
                      <a:ext cx="2207578"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9">
      <w:pPr>
        <w:rPr>
          <w:highlight w:val="white"/>
        </w:rPr>
      </w:pPr>
      <w:r w:rsidDel="00000000" w:rsidR="00000000" w:rsidRPr="00000000">
        <w:rPr>
          <w:highlight w:val="white"/>
          <w:rtl w:val="0"/>
        </w:rPr>
        <w:t xml:space="preserve">The prompt now asks us to enter our Gmail address and sign in.</w:t>
      </w:r>
    </w:p>
    <w:p w:rsidR="00000000" w:rsidDel="00000000" w:rsidP="00000000" w:rsidRDefault="00000000" w:rsidRPr="00000000" w14:paraId="0000000A">
      <w:pPr>
        <w:rPr>
          <w:highlight w:val="white"/>
        </w:rPr>
      </w:pPr>
      <w:r w:rsidDel="00000000" w:rsidR="00000000" w:rsidRPr="00000000">
        <w:rPr>
          <w:highlight w:val="white"/>
        </w:rPr>
        <w:drawing>
          <wp:inline distB="114300" distT="114300" distL="114300" distR="114300">
            <wp:extent cx="4061076" cy="2791512"/>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61076" cy="279151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highlight w:val="white"/>
        </w:rPr>
      </w:pPr>
      <w:r w:rsidDel="00000000" w:rsidR="00000000" w:rsidRPr="00000000">
        <w:rPr>
          <w:highlight w:val="white"/>
        </w:rPr>
        <w:drawing>
          <wp:inline distB="114300" distT="114300" distL="114300" distR="114300">
            <wp:extent cx="4078520" cy="2747336"/>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078520" cy="274733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highlight w:val="white"/>
        </w:rPr>
      </w:pPr>
      <w:r w:rsidDel="00000000" w:rsidR="00000000" w:rsidRPr="00000000">
        <w:rPr>
          <w:highlight w:val="white"/>
        </w:rPr>
        <w:drawing>
          <wp:inline distB="114300" distT="114300" distL="114300" distR="114300">
            <wp:extent cx="4074129" cy="2767013"/>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74129"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E">
      <w:pPr>
        <w:rPr>
          <w:highlight w:val="white"/>
        </w:rPr>
      </w:pPr>
      <w:r w:rsidDel="00000000" w:rsidR="00000000" w:rsidRPr="00000000">
        <w:rPr>
          <w:highlight w:val="white"/>
          <w:rtl w:val="0"/>
        </w:rPr>
        <w:t xml:space="preserve">In the next screen, we have to review the terms of service.</w:t>
      </w:r>
    </w:p>
    <w:p w:rsidR="00000000" w:rsidDel="00000000" w:rsidP="00000000" w:rsidRDefault="00000000" w:rsidRPr="00000000" w14:paraId="0000000F">
      <w:pPr>
        <w:rPr>
          <w:highlight w:val="white"/>
        </w:rPr>
      </w:pPr>
      <w:r w:rsidDel="00000000" w:rsidR="00000000" w:rsidRPr="00000000">
        <w:rPr>
          <w:highlight w:val="white"/>
        </w:rPr>
        <w:drawing>
          <wp:inline distB="114300" distT="114300" distL="114300" distR="114300">
            <wp:extent cx="4133850" cy="3533775"/>
            <wp:effectExtent b="0" l="0" r="0" t="0"/>
            <wp:docPr id="2" name="image4.png"/>
            <a:graphic>
              <a:graphicData uri="http://schemas.openxmlformats.org/drawingml/2006/picture">
                <pic:pic>
                  <pic:nvPicPr>
                    <pic:cNvPr id="0" name="image4.png"/>
                    <pic:cNvPicPr preferRelativeResize="0"/>
                  </pic:nvPicPr>
                  <pic:blipFill>
                    <a:blip r:embed="rId12"/>
                    <a:srcRect b="0" l="0" r="39722" t="0"/>
                    <a:stretch>
                      <a:fillRect/>
                    </a:stretch>
                  </pic:blipFill>
                  <pic:spPr>
                    <a:xfrm>
                      <a:off x="0" y="0"/>
                      <a:ext cx="41338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highlight w:val="white"/>
        </w:rPr>
      </w:pPr>
      <w:r w:rsidDel="00000000" w:rsidR="00000000" w:rsidRPr="00000000">
        <w:rPr>
          <w:highlight w:val="white"/>
          <w:rtl w:val="0"/>
        </w:rPr>
        <w:t xml:space="preserve">In the next screen, we enter the details of our profile and review the terms of service. </w:t>
      </w:r>
    </w:p>
    <w:p w:rsidR="00000000" w:rsidDel="00000000" w:rsidP="00000000" w:rsidRDefault="00000000" w:rsidRPr="00000000" w14:paraId="00000011">
      <w:pPr>
        <w:rPr>
          <w:highlight w:val="white"/>
        </w:rPr>
      </w:pPr>
      <w:r w:rsidDel="00000000" w:rsidR="00000000" w:rsidRPr="00000000">
        <w:rPr>
          <w:highlight w:val="white"/>
        </w:rPr>
        <w:drawing>
          <wp:inline distB="114300" distT="114300" distL="114300" distR="114300">
            <wp:extent cx="5278656" cy="4738688"/>
            <wp:effectExtent b="0" l="0" r="0" t="0"/>
            <wp:docPr id="4" name="image3.png"/>
            <a:graphic>
              <a:graphicData uri="http://schemas.openxmlformats.org/drawingml/2006/picture">
                <pic:pic>
                  <pic:nvPicPr>
                    <pic:cNvPr id="0" name="image3.png"/>
                    <pic:cNvPicPr preferRelativeResize="0"/>
                  </pic:nvPicPr>
                  <pic:blipFill>
                    <a:blip r:embed="rId13"/>
                    <a:srcRect b="0" l="2638" r="7222" t="0"/>
                    <a:stretch>
                      <a:fillRect/>
                    </a:stretch>
                  </pic:blipFill>
                  <pic:spPr>
                    <a:xfrm>
                      <a:off x="0" y="0"/>
                      <a:ext cx="5278656"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highlight w:val="white"/>
        </w:rPr>
      </w:pPr>
      <w:r w:rsidDel="00000000" w:rsidR="00000000" w:rsidRPr="00000000">
        <w:rPr>
          <w:highlight w:val="white"/>
        </w:rPr>
        <w:drawing>
          <wp:inline distB="114300" distT="114300" distL="114300" distR="114300">
            <wp:extent cx="5943600" cy="36576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highlight w:val="white"/>
        </w:rPr>
      </w:pPr>
      <w:r w:rsidDel="00000000" w:rsidR="00000000" w:rsidRPr="00000000">
        <w:rPr>
          <w:highlight w:val="white"/>
          <w:rtl w:val="0"/>
        </w:rPr>
        <w:t xml:space="preserve">For more details, see: </w:t>
      </w:r>
      <w:hyperlink r:id="rId15">
        <w:r w:rsidDel="00000000" w:rsidR="00000000" w:rsidRPr="00000000">
          <w:rPr>
            <w:color w:val="1155cc"/>
            <w:highlight w:val="white"/>
            <w:u w:val="single"/>
            <w:rtl w:val="0"/>
          </w:rPr>
          <w:t xml:space="preserve">https://support.terra.bio/hc/en-us/articles/28504837523995-How-to-Register-for-DUOS</w:t>
        </w:r>
      </w:hyperlink>
      <w:r w:rsidDel="00000000" w:rsidR="00000000" w:rsidRPr="00000000">
        <w:rPr>
          <w:rtl w:val="0"/>
        </w:rPr>
      </w:r>
    </w:p>
    <w:p w:rsidR="00000000" w:rsidDel="00000000" w:rsidP="00000000" w:rsidRDefault="00000000" w:rsidRPr="00000000" w14:paraId="00000014">
      <w:pPr>
        <w:rPr>
          <w:highlight w:val="white"/>
        </w:rPr>
      </w:pPr>
      <w:r w:rsidDel="00000000" w:rsidR="00000000" w:rsidRPr="00000000">
        <w:rPr>
          <w:rtl w:val="0"/>
        </w:rPr>
      </w:r>
    </w:p>
    <w:p w:rsidR="00000000" w:rsidDel="00000000" w:rsidP="00000000" w:rsidRDefault="00000000" w:rsidRPr="00000000" w14:paraId="00000015">
      <w:pPr>
        <w:rPr>
          <w:highlight w:val="white"/>
        </w:rPr>
      </w:pPr>
      <w:r w:rsidDel="00000000" w:rsidR="00000000" w:rsidRPr="00000000">
        <w:rPr>
          <w:highlight w:val="white"/>
          <w:rtl w:val="0"/>
        </w:rPr>
        <w:t xml:space="preserve">Once you have registered for DUOS, you can look up the raw sequencing data in the </w:t>
      </w:r>
      <w:r w:rsidDel="00000000" w:rsidR="00000000" w:rsidRPr="00000000">
        <w:rPr>
          <w:b w:val="1"/>
          <w:highlight w:val="white"/>
          <w:rtl w:val="0"/>
        </w:rPr>
        <w:t xml:space="preserve">DUOS Data Library.</w:t>
      </w:r>
      <w:r w:rsidDel="00000000" w:rsidR="00000000" w:rsidRPr="00000000">
        <w:rPr>
          <w:highlight w:val="white"/>
          <w:rtl w:val="0"/>
        </w:rPr>
        <w:t xml:space="preserve"> The keyword </w:t>
      </w:r>
      <w:r w:rsidDel="00000000" w:rsidR="00000000" w:rsidRPr="00000000">
        <w:rPr>
          <w:b w:val="1"/>
          <w:highlight w:val="white"/>
          <w:rtl w:val="0"/>
        </w:rPr>
        <w:t xml:space="preserve">covid-19</w:t>
      </w:r>
      <w:r w:rsidDel="00000000" w:rsidR="00000000" w:rsidRPr="00000000">
        <w:rPr>
          <w:highlight w:val="white"/>
          <w:rtl w:val="0"/>
        </w:rPr>
        <w:t xml:space="preserve"> will show the full COVID-19 Autopsy Tissue data set. This data set is the original submission from </w:t>
      </w:r>
      <w:hyperlink r:id="rId16">
        <w:r w:rsidDel="00000000" w:rsidR="00000000" w:rsidRPr="00000000">
          <w:rPr>
            <w:b w:val="0"/>
            <w:color w:val="000000"/>
            <w:highlight w:val="white"/>
            <w:u w:val="none"/>
            <w:vertAlign w:val="superscript"/>
            <w:rtl w:val="0"/>
          </w:rPr>
          <w:t xml:space="preserve">1</w:t>
        </w:r>
      </w:hyperlink>
      <w:r w:rsidDel="00000000" w:rsidR="00000000" w:rsidRPr="00000000">
        <w:rPr>
          <w:highlight w:val="white"/>
          <w:rtl w:val="0"/>
        </w:rPr>
        <w:t xml:space="preserve">.</w:t>
      </w:r>
    </w:p>
    <w:p w:rsidR="00000000" w:rsidDel="00000000" w:rsidP="00000000" w:rsidRDefault="00000000" w:rsidRPr="00000000" w14:paraId="00000016">
      <w:pPr>
        <w:rPr>
          <w:highlight w:val="white"/>
        </w:rPr>
      </w:pPr>
      <w:r w:rsidDel="00000000" w:rsidR="00000000" w:rsidRPr="00000000">
        <w:rPr>
          <w:highlight w:val="white"/>
        </w:rPr>
        <w:drawing>
          <wp:inline distB="114300" distT="114300" distL="114300" distR="114300">
            <wp:extent cx="5243513" cy="1814065"/>
            <wp:effectExtent b="0" l="0" r="0" t="0"/>
            <wp:docPr id="3" name="image2.png"/>
            <a:graphic>
              <a:graphicData uri="http://schemas.openxmlformats.org/drawingml/2006/picture">
                <pic:pic>
                  <pic:nvPicPr>
                    <pic:cNvPr id="0" name="image2.png"/>
                    <pic:cNvPicPr preferRelativeResize="0"/>
                  </pic:nvPicPr>
                  <pic:blipFill>
                    <a:blip r:embed="rId17"/>
                    <a:srcRect b="0" l="0" r="1111" t="0"/>
                    <a:stretch>
                      <a:fillRect/>
                    </a:stretch>
                  </pic:blipFill>
                  <pic:spPr>
                    <a:xfrm>
                      <a:off x="0" y="0"/>
                      <a:ext cx="5243513" cy="181406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highlight w:val="white"/>
        </w:rPr>
      </w:pPr>
      <w:r w:rsidDel="00000000" w:rsidR="00000000" w:rsidRPr="00000000">
        <w:rPr>
          <w:highlight w:val="white"/>
          <w:rtl w:val="0"/>
        </w:rPr>
        <w:t xml:space="preserve">The data sets for this paper (DUOS-000126 and DUOS-000127) can be accessed by clicking on the </w:t>
      </w:r>
      <w:r w:rsidDel="00000000" w:rsidR="00000000" w:rsidRPr="00000000">
        <w:rPr>
          <w:b w:val="1"/>
          <w:highlight w:val="white"/>
          <w:rtl w:val="0"/>
        </w:rPr>
        <w:t xml:space="preserve">View by Datasets</w:t>
      </w:r>
      <w:r w:rsidDel="00000000" w:rsidR="00000000" w:rsidRPr="00000000">
        <w:rPr>
          <w:highlight w:val="white"/>
          <w:rtl w:val="0"/>
        </w:rPr>
        <w:t xml:space="preserve"> tab.</w:t>
      </w:r>
    </w:p>
    <w:p w:rsidR="00000000" w:rsidDel="00000000" w:rsidP="00000000" w:rsidRDefault="00000000" w:rsidRPr="00000000" w14:paraId="00000018">
      <w:pPr>
        <w:rPr>
          <w:highlight w:val="white"/>
        </w:rPr>
      </w:pPr>
      <w:r w:rsidDel="00000000" w:rsidR="00000000" w:rsidRPr="00000000">
        <w:rPr>
          <w:highlight w:val="white"/>
        </w:rPr>
        <w:drawing>
          <wp:inline distB="114300" distT="114300" distL="114300" distR="114300">
            <wp:extent cx="5148263" cy="1939792"/>
            <wp:effectExtent b="0" l="0" r="0" t="0"/>
            <wp:docPr id="8" name="image6.png"/>
            <a:graphic>
              <a:graphicData uri="http://schemas.openxmlformats.org/drawingml/2006/picture">
                <pic:pic>
                  <pic:nvPicPr>
                    <pic:cNvPr id="0" name="image6.png"/>
                    <pic:cNvPicPr preferRelativeResize="0"/>
                  </pic:nvPicPr>
                  <pic:blipFill>
                    <a:blip r:embed="rId18"/>
                    <a:srcRect b="0" l="0" r="1121" t="0"/>
                    <a:stretch>
                      <a:fillRect/>
                    </a:stretch>
                  </pic:blipFill>
                  <pic:spPr>
                    <a:xfrm>
                      <a:off x="0" y="0"/>
                      <a:ext cx="5148263" cy="193979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highlight w:val="white"/>
        </w:rPr>
      </w:pPr>
      <w:r w:rsidDel="00000000" w:rsidR="00000000" w:rsidRPr="00000000">
        <w:rPr>
          <w:highlight w:val="white"/>
          <w:rtl w:val="0"/>
        </w:rPr>
        <w:t xml:space="preserve">The raw sequencing data are under controlled access. Therefore, one must submit a </w:t>
      </w:r>
      <w:r w:rsidDel="00000000" w:rsidR="00000000" w:rsidRPr="00000000">
        <w:rPr>
          <w:b w:val="1"/>
          <w:highlight w:val="white"/>
          <w:rtl w:val="0"/>
        </w:rPr>
        <w:t xml:space="preserve">DAR (Data Access Request)</w:t>
      </w:r>
      <w:r w:rsidDel="00000000" w:rsidR="00000000" w:rsidRPr="00000000">
        <w:rPr>
          <w:highlight w:val="white"/>
          <w:rtl w:val="0"/>
        </w:rPr>
        <w:t xml:space="preserve"> in order to access them. For more details, please refer to: </w:t>
      </w:r>
      <w:hyperlink r:id="rId19">
        <w:r w:rsidDel="00000000" w:rsidR="00000000" w:rsidRPr="00000000">
          <w:rPr>
            <w:color w:val="1155cc"/>
            <w:highlight w:val="white"/>
            <w:u w:val="single"/>
            <w:rtl w:val="0"/>
          </w:rPr>
          <w:t xml:space="preserve">https://support.terra.bio/hc/en-us/articles/28510945983003-How-to-Submit-a-Data-Access-Request-DAR-in-DUOS</w:t>
        </w:r>
      </w:hyperlink>
      <w:r w:rsidDel="00000000" w:rsidR="00000000" w:rsidRPr="00000000">
        <w:rPr>
          <w:rtl w:val="0"/>
        </w:rPr>
      </w:r>
    </w:p>
    <w:p w:rsidR="00000000" w:rsidDel="00000000" w:rsidP="00000000" w:rsidRDefault="00000000" w:rsidRPr="00000000" w14:paraId="0000001A">
      <w:pPr>
        <w:rPr>
          <w:highlight w:val="white"/>
        </w:rPr>
      </w:pPr>
      <w:r w:rsidDel="00000000" w:rsidR="00000000" w:rsidRPr="00000000">
        <w:rPr>
          <w:rtl w:val="0"/>
        </w:rPr>
      </w:r>
    </w:p>
    <w:p w:rsidR="00000000" w:rsidDel="00000000" w:rsidP="00000000" w:rsidRDefault="00000000" w:rsidRPr="00000000" w14:paraId="0000001B">
      <w:pPr>
        <w:rPr>
          <w:highlight w:val="white"/>
        </w:rPr>
      </w:pPr>
      <w:r w:rsidDel="00000000" w:rsidR="00000000" w:rsidRPr="00000000">
        <w:rPr>
          <w:highlight w:val="white"/>
          <w:rtl w:val="0"/>
        </w:rPr>
        <w:t xml:space="preserve">Alternatively, the data set can be exported to </w:t>
      </w:r>
      <w:r w:rsidDel="00000000" w:rsidR="00000000" w:rsidRPr="00000000">
        <w:rPr>
          <w:b w:val="1"/>
          <w:highlight w:val="white"/>
          <w:rtl w:val="0"/>
        </w:rPr>
        <w:t xml:space="preserve">Terra</w:t>
      </w:r>
      <w:r w:rsidDel="00000000" w:rsidR="00000000" w:rsidRPr="00000000">
        <w:rPr>
          <w:highlight w:val="white"/>
          <w:rtl w:val="0"/>
        </w:rPr>
        <w:t xml:space="preserve"> ( </w:t>
      </w:r>
      <w:hyperlink r:id="rId20">
        <w:r w:rsidDel="00000000" w:rsidR="00000000" w:rsidRPr="00000000">
          <w:rPr>
            <w:color w:val="1155cc"/>
            <w:highlight w:val="white"/>
            <w:u w:val="single"/>
            <w:rtl w:val="0"/>
          </w:rPr>
          <w:t xml:space="preserve">https://app.terra.bio/</w:t>
        </w:r>
      </w:hyperlink>
      <w:r w:rsidDel="00000000" w:rsidR="00000000" w:rsidRPr="00000000">
        <w:rPr>
          <w:highlight w:val="white"/>
          <w:rtl w:val="0"/>
        </w:rPr>
        <w:t xml:space="preserve"> ) for direct analysis there. </w:t>
      </w:r>
      <w:r w:rsidDel="00000000" w:rsidR="00000000" w:rsidRPr="00000000">
        <w:rPr>
          <w:b w:val="1"/>
          <w:highlight w:val="white"/>
          <w:rtl w:val="0"/>
        </w:rPr>
        <w:t xml:space="preserve">Terra</w:t>
      </w:r>
      <w:r w:rsidDel="00000000" w:rsidR="00000000" w:rsidRPr="00000000">
        <w:rPr>
          <w:highlight w:val="white"/>
          <w:rtl w:val="0"/>
        </w:rPr>
        <w:t xml:space="preserve"> is a scalable, secure research platform, jointly developed by the Broad Institute of MIT and Harvard, Microsoft, and Verily, to help biomedical researchers to access data, run analysis tools, and collaborate. For more details, see: </w:t>
      </w:r>
    </w:p>
    <w:p w:rsidR="00000000" w:rsidDel="00000000" w:rsidP="00000000" w:rsidRDefault="00000000" w:rsidRPr="00000000" w14:paraId="0000001C">
      <w:pPr>
        <w:rPr>
          <w:highlight w:val="white"/>
        </w:rPr>
      </w:pPr>
      <w:hyperlink r:id="rId21">
        <w:r w:rsidDel="00000000" w:rsidR="00000000" w:rsidRPr="00000000">
          <w:rPr>
            <w:color w:val="1155cc"/>
            <w:highlight w:val="white"/>
            <w:u w:val="single"/>
            <w:rtl w:val="0"/>
          </w:rPr>
          <w:t xml:space="preserve">https://support.terra.bio/hc/en-us/articles/31034718333851-How-to-access-and-export-controlled-data-to-Terra-via-DUOS</w:t>
        </w:r>
      </w:hyperlink>
      <w:r w:rsidDel="00000000" w:rsidR="00000000" w:rsidRPr="00000000">
        <w:rPr>
          <w:rtl w:val="0"/>
        </w:rPr>
      </w:r>
    </w:p>
    <w:p w:rsidR="00000000" w:rsidDel="00000000" w:rsidP="00000000" w:rsidRDefault="00000000" w:rsidRPr="00000000" w14:paraId="0000001D">
      <w:pPr>
        <w:rPr>
          <w:highlight w:val="white"/>
        </w:rPr>
      </w:pPr>
      <w:r w:rsidDel="00000000" w:rsidR="00000000" w:rsidRPr="00000000">
        <w:rPr>
          <w:rtl w:val="0"/>
        </w:rPr>
      </w:r>
    </w:p>
    <w:p w:rsidR="00000000" w:rsidDel="00000000" w:rsidP="00000000" w:rsidRDefault="00000000" w:rsidRPr="00000000" w14:paraId="0000001E">
      <w:pPr>
        <w:rPr>
          <w:highlight w:val="white"/>
        </w:rPr>
      </w:pPr>
      <w:r w:rsidDel="00000000" w:rsidR="00000000" w:rsidRPr="00000000">
        <w:rPr>
          <w:rtl w:val="0"/>
        </w:rPr>
      </w:r>
    </w:p>
    <w:p w:rsidR="00000000" w:rsidDel="00000000" w:rsidP="00000000" w:rsidRDefault="00000000" w:rsidRPr="00000000" w14:paraId="0000001F">
      <w:pPr>
        <w:rPr>
          <w:highlight w:val="white"/>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highlight w:val="white"/>
          <w:rtl w:val="0"/>
        </w:rPr>
        <w:t xml:space="preserve">References</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480" w:lineRule="auto"/>
        <w:ind w:left="480" w:right="0" w:hanging="480"/>
        <w:jc w:val="left"/>
        <w:rPr/>
      </w:pPr>
      <w:r w:rsidDel="00000000" w:rsidR="00000000" w:rsidRPr="00000000">
        <w:rPr>
          <w:rtl w:val="0"/>
        </w:rPr>
        <w:t xml:space="preserve">1.</w:t>
        <w:tab/>
      </w:r>
      <w:hyperlink r:id="rId22">
        <w:r w:rsidDel="00000000" w:rsidR="00000000" w:rsidRPr="00000000">
          <w:rPr>
            <w:color w:val="000000"/>
            <w:u w:val="none"/>
            <w:rtl w:val="0"/>
          </w:rPr>
          <w:t xml:space="preserve">Delorey, T. M. </w:t>
        </w:r>
      </w:hyperlink>
      <w:hyperlink r:id="rId23">
        <w:r w:rsidDel="00000000" w:rsidR="00000000" w:rsidRPr="00000000">
          <w:rPr>
            <w:i w:val="1"/>
            <w:color w:val="000000"/>
            <w:u w:val="none"/>
            <w:rtl w:val="0"/>
          </w:rPr>
          <w:t xml:space="preserve">et al.</w:t>
        </w:r>
      </w:hyperlink>
      <w:hyperlink r:id="rId24">
        <w:r w:rsidDel="00000000" w:rsidR="00000000" w:rsidRPr="00000000">
          <w:rPr>
            <w:color w:val="000000"/>
            <w:u w:val="none"/>
            <w:rtl w:val="0"/>
          </w:rPr>
          <w:t xml:space="preserve"> COVID-19 tissue atlases reveal SARS-CoV-2 pathology and cellular targets. </w:t>
        </w:r>
      </w:hyperlink>
      <w:hyperlink r:id="rId25">
        <w:r w:rsidDel="00000000" w:rsidR="00000000" w:rsidRPr="00000000">
          <w:rPr>
            <w:i w:val="1"/>
            <w:color w:val="000000"/>
            <w:u w:val="none"/>
            <w:rtl w:val="0"/>
          </w:rPr>
          <w:t xml:space="preserve">Nature</w:t>
        </w:r>
      </w:hyperlink>
      <w:hyperlink r:id="rId26">
        <w:r w:rsidDel="00000000" w:rsidR="00000000" w:rsidRPr="00000000">
          <w:rPr>
            <w:color w:val="000000"/>
            <w:u w:val="none"/>
            <w:rtl w:val="0"/>
          </w:rPr>
          <w:t xml:space="preserve"> </w:t>
        </w:r>
      </w:hyperlink>
      <w:hyperlink r:id="rId27">
        <w:r w:rsidDel="00000000" w:rsidR="00000000" w:rsidRPr="00000000">
          <w:rPr>
            <w:b w:val="1"/>
            <w:color w:val="000000"/>
            <w:u w:val="none"/>
            <w:rtl w:val="0"/>
          </w:rPr>
          <w:t xml:space="preserve">595</w:t>
        </w:r>
      </w:hyperlink>
      <w:hyperlink r:id="rId28">
        <w:r w:rsidDel="00000000" w:rsidR="00000000" w:rsidRPr="00000000">
          <w:rPr>
            <w:color w:val="000000"/>
            <w:u w:val="none"/>
            <w:rtl w:val="0"/>
          </w:rPr>
          <w:t xml:space="preserve">, 107–113 (2021).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pp.terra.bio/" TargetMode="External"/><Relationship Id="rId22" Type="http://schemas.openxmlformats.org/officeDocument/2006/relationships/hyperlink" Target="http://paperpile.com/b/nCh2O4/7g2c" TargetMode="External"/><Relationship Id="rId21" Type="http://schemas.openxmlformats.org/officeDocument/2006/relationships/hyperlink" Target="https://support.terra.bio/hc/en-us/articles/31034718333851-How-to-access-and-export-controlled-data-to-Terra-via-DUOS" TargetMode="External"/><Relationship Id="rId24" Type="http://schemas.openxmlformats.org/officeDocument/2006/relationships/hyperlink" Target="http://paperpile.com/b/nCh2O4/7g2c" TargetMode="External"/><Relationship Id="rId23" Type="http://schemas.openxmlformats.org/officeDocument/2006/relationships/hyperlink" Target="http://paperpile.com/b/nCh2O4/7g2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paperpile.com/b/nCh2O4/7g2c" TargetMode="External"/><Relationship Id="rId25" Type="http://schemas.openxmlformats.org/officeDocument/2006/relationships/hyperlink" Target="http://paperpile.com/b/nCh2O4/7g2c" TargetMode="External"/><Relationship Id="rId28" Type="http://schemas.openxmlformats.org/officeDocument/2006/relationships/hyperlink" Target="http://paperpile.com/b/nCh2O4/7g2c" TargetMode="External"/><Relationship Id="rId27" Type="http://schemas.openxmlformats.org/officeDocument/2006/relationships/hyperlink" Target="http://paperpile.com/b/nCh2O4/7g2c" TargetMode="External"/><Relationship Id="rId5" Type="http://schemas.openxmlformats.org/officeDocument/2006/relationships/styles" Target="styles.xml"/><Relationship Id="rId6" Type="http://schemas.openxmlformats.org/officeDocument/2006/relationships/hyperlink" Target="https://duos.broadinstitute.org/" TargetMode="External"/><Relationship Id="rId7" Type="http://schemas.openxmlformats.org/officeDocument/2006/relationships/image" Target="media/image5.png"/><Relationship Id="rId8" Type="http://schemas.openxmlformats.org/officeDocument/2006/relationships/image" Target="media/image10.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hyperlink" Target="https://support.terra.bio/hc/en-us/articles/28504837523995-How-to-Register-for-DUOS" TargetMode="External"/><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hyperlink" Target="https://paperpile.com/c/nCh2O4/7g2c" TargetMode="External"/><Relationship Id="rId19" Type="http://schemas.openxmlformats.org/officeDocument/2006/relationships/hyperlink" Target="https://support.terra.bio/hc/en-us/articles/28510945983003-How-to-Submit-a-Data-Access-Request-DAR-in-DUOS"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