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Calibri" w:hAnsi="Calibri"/>
          <w:b w:val="0"/>
          <w:i w:val="0"/>
          <w:color w:val="555555"/>
          <w:sz w:val="20"/>
        </w:rPr>
        <w:t>EQUITY RESEARCH — FUNDAMENTAL ANALYSIS</w:t>
      </w:r>
    </w:p>
    <w:p>
      <w:pPr>
        <w:spacing w:before="80" w:after="40"/>
        <w:jc w:val="center"/>
      </w:pPr>
      <w:r>
        <w:rPr>
          <w:rFonts w:ascii="Calibri" w:hAnsi="Calibri"/>
          <w:b/>
          <w:i w:val="0"/>
          <w:color w:val="00B14F"/>
          <w:sz w:val="56"/>
        </w:rPr>
        <w:t>GRAB HOLDINGS LIMITED</w:t>
      </w:r>
    </w:p>
    <w:p>
      <w:pPr>
        <w:spacing w:before="0" w:after="40"/>
        <w:jc w:val="center"/>
      </w:pPr>
      <w:r>
        <w:rPr>
          <w:rFonts w:ascii="Calibri" w:hAnsi="Calibri"/>
          <w:b w:val="0"/>
          <w:i w:val="0"/>
          <w:color w:val="555555"/>
          <w:sz w:val="26"/>
        </w:rPr>
        <w:t>NASDAQ: GRAB  |  Southeast Asia's Super-App Platform</w:t>
      </w:r>
    </w:p>
    <w:p>
      <w:pPr>
        <w:spacing w:before="0" w:after="320"/>
        <w:jc w:val="center"/>
      </w:pPr>
      <w:r>
        <w:rPr>
          <w:rFonts w:ascii="Calibri" w:hAnsi="Calibri"/>
          <w:b w:val="0"/>
          <w:i/>
          <w:color w:val="555555"/>
          <w:sz w:val="20"/>
        </w:rPr>
        <w:t>Research Date: March 25, 2026  |  5-Phase Multi-Bagger Framework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A7A3F"/>
            <w:vAlign w:val="center"/>
          </w:tcPr>
          <w:p>
            <w:pPr>
              <w:jc w:val="center"/>
            </w:pPr>
            <w:r>
              <w:rPr>
                <w:rFonts w:ascii="Calibri" w:hAnsi="Calibri"/>
                <w:b/>
                <w:i w:val="0"/>
                <w:color w:val="FFFFFF"/>
                <w:sz w:val="20"/>
              </w:rPr>
              <w:t>Metric</w:t>
            </w:r>
          </w:p>
        </w:tc>
        <w:tc>
          <w:tcPr>
            <w:tcW w:type="dxa" w:w="2880"/>
            <w:shd w:val="clear" w:color="auto" w:fill="1A7A3F"/>
            <w:vAlign w:val="center"/>
          </w:tcPr>
          <w:p>
            <w:pPr>
              <w:jc w:val="center"/>
            </w:pPr>
            <w:r>
              <w:rPr>
                <w:rFonts w:ascii="Calibri" w:hAnsi="Calibri"/>
                <w:b/>
                <w:i w:val="0"/>
                <w:color w:val="FFFFFF"/>
                <w:sz w:val="20"/>
              </w:rPr>
              <w:t>Value</w:t>
            </w:r>
          </w:p>
        </w:tc>
        <w:tc>
          <w:tcPr>
            <w:tcW w:type="dxa" w:w="2880"/>
            <w:shd w:val="clear" w:color="auto" w:fill="1A7A3F"/>
            <w:vAlign w:val="center"/>
          </w:tcPr>
          <w:p>
            <w:pPr>
              <w:jc w:val="center"/>
            </w:pPr>
            <w:r>
              <w:rPr>
                <w:rFonts w:ascii="Calibri" w:hAnsi="Calibri"/>
                <w:b/>
                <w:i w:val="0"/>
                <w:color w:val="FFFFFF"/>
                <w:sz w:val="20"/>
              </w:rPr>
              <w:t>Metric</w:t>
            </w:r>
          </w:p>
        </w:tc>
        <w:tc>
          <w:tcPr>
            <w:tcW w:type="dxa" w:w="2880"/>
            <w:shd w:val="clear" w:color="auto" w:fill="1A7A3F"/>
            <w:vAlign w:val="center"/>
          </w:tcPr>
          <w:p>
            <w:pPr>
              <w:jc w:val="center"/>
            </w:pPr>
            <w:r>
              <w:rPr>
                <w:rFonts w:ascii="Calibri" w:hAnsi="Calibri"/>
                <w:b/>
                <w:i w:val="0"/>
                <w:color w:val="FFFFFF"/>
                <w:sz w:val="20"/>
              </w:rPr>
              <w:t>Value</w:t>
            </w:r>
          </w:p>
        </w:tc>
      </w:tr>
      <w:tr>
        <w:tc>
          <w:tcPr>
            <w:tcW w:type="dxa" w:w="2880"/>
            <w:shd w:val="clear" w:color="auto" w:fill="EAF7EE"/>
            <w:vAlign w:val="center"/>
          </w:tcPr>
          <w:p>
            <w:r>
              <w:rPr>
                <w:rFonts w:ascii="Calibri" w:hAnsi="Calibri"/>
                <w:b/>
                <w:i w:val="0"/>
                <w:color w:val="2E2E2E"/>
                <w:sz w:val="20"/>
              </w:rPr>
              <w:t>Stock Price</w:t>
            </w:r>
          </w:p>
        </w:tc>
        <w:tc>
          <w:tcPr>
            <w:tcW w:type="dxa" w:w="2880"/>
            <w:shd w:val="clear" w:color="auto" w:fill="EAF7EE"/>
            <w:vAlign w:val="center"/>
          </w:tcPr>
          <w:p>
            <w:pPr>
              <w:jc w:val="center"/>
            </w:pPr>
            <w:r>
              <w:rPr>
                <w:rFonts w:ascii="Calibri" w:hAnsi="Calibri"/>
                <w:b w:val="0"/>
                <w:i w:val="0"/>
                <w:color w:val="2E2E2E"/>
                <w:sz w:val="20"/>
              </w:rPr>
              <w:t>~$3.85</w:t>
            </w:r>
          </w:p>
        </w:tc>
        <w:tc>
          <w:tcPr>
            <w:tcW w:type="dxa" w:w="2880"/>
            <w:shd w:val="clear" w:color="auto" w:fill="EAF7EE"/>
            <w:vAlign w:val="center"/>
          </w:tcPr>
          <w:p>
            <w:pPr>
              <w:jc w:val="center"/>
            </w:pPr>
            <w:r>
              <w:rPr>
                <w:rFonts w:ascii="Calibri" w:hAnsi="Calibri"/>
                <w:b w:val="0"/>
                <w:i w:val="0"/>
                <w:color w:val="2E2E2E"/>
                <w:sz w:val="20"/>
              </w:rPr>
              <w:t>Market Cap</w:t>
            </w:r>
          </w:p>
        </w:tc>
        <w:tc>
          <w:tcPr>
            <w:tcW w:type="dxa" w:w="2880"/>
            <w:shd w:val="clear" w:color="auto" w:fill="EAF7EE"/>
            <w:vAlign w:val="center"/>
          </w:tcPr>
          <w:p>
            <w:pPr>
              <w:jc w:val="center"/>
            </w:pPr>
            <w:r>
              <w:rPr>
                <w:rFonts w:ascii="Calibri" w:hAnsi="Calibri"/>
                <w:b w:val="0"/>
                <w:i w:val="0"/>
                <w:color w:val="2E2E2E"/>
                <w:sz w:val="20"/>
              </w:rPr>
              <w:t>~$15.0B</w:t>
            </w:r>
          </w:p>
        </w:tc>
      </w:tr>
      <w:tr>
        <w:tc>
          <w:tcPr>
            <w:tcW w:type="dxa" w:w="2880"/>
            <w:shd w:val="clear" w:color="auto" w:fill="FFFFFF"/>
            <w:vAlign w:val="center"/>
          </w:tcPr>
          <w:p>
            <w:r>
              <w:rPr>
                <w:rFonts w:ascii="Calibri" w:hAnsi="Calibri"/>
                <w:b/>
                <w:i w:val="0"/>
                <w:color w:val="2E2E2E"/>
                <w:sz w:val="20"/>
              </w:rPr>
              <w:t>Analyst Avg. Target</w:t>
            </w:r>
          </w:p>
        </w:tc>
        <w:tc>
          <w:tcPr>
            <w:tcW w:type="dxa" w:w="2880"/>
            <w:shd w:val="clear" w:color="auto" w:fill="FFFFFF"/>
            <w:vAlign w:val="center"/>
          </w:tcPr>
          <w:p>
            <w:pPr>
              <w:jc w:val="center"/>
            </w:pPr>
            <w:r>
              <w:rPr>
                <w:rFonts w:ascii="Calibri" w:hAnsi="Calibri"/>
                <w:b w:val="0"/>
                <w:i w:val="0"/>
                <w:color w:val="2E2E2E"/>
                <w:sz w:val="20"/>
              </w:rPr>
              <w:t>$6.75</w:t>
            </w:r>
          </w:p>
        </w:tc>
        <w:tc>
          <w:tcPr>
            <w:tcW w:type="dxa" w:w="2880"/>
            <w:shd w:val="clear" w:color="auto" w:fill="FFFFFF"/>
            <w:vAlign w:val="center"/>
          </w:tcPr>
          <w:p>
            <w:pPr>
              <w:jc w:val="center"/>
            </w:pPr>
            <w:r>
              <w:rPr>
                <w:rFonts w:ascii="Calibri" w:hAnsi="Calibri"/>
                <w:b w:val="0"/>
                <w:i w:val="0"/>
                <w:color w:val="2E2E2E"/>
                <w:sz w:val="20"/>
              </w:rPr>
              <w:t>Upside to Target</w:t>
            </w:r>
          </w:p>
        </w:tc>
        <w:tc>
          <w:tcPr>
            <w:tcW w:type="dxa" w:w="2880"/>
            <w:shd w:val="clear" w:color="auto" w:fill="FFFFFF"/>
            <w:vAlign w:val="center"/>
          </w:tcPr>
          <w:p>
            <w:pPr>
              <w:jc w:val="center"/>
            </w:pPr>
            <w:r>
              <w:rPr>
                <w:rFonts w:ascii="Calibri" w:hAnsi="Calibri"/>
                <w:b w:val="0"/>
                <w:i w:val="0"/>
                <w:color w:val="2E2E2E"/>
                <w:sz w:val="20"/>
              </w:rPr>
              <w:t>~75%</w:t>
            </w:r>
          </w:p>
        </w:tc>
      </w:tr>
      <w:tr>
        <w:tc>
          <w:tcPr>
            <w:tcW w:type="dxa" w:w="2880"/>
            <w:shd w:val="clear" w:color="auto" w:fill="EAF7EE"/>
            <w:vAlign w:val="center"/>
          </w:tcPr>
          <w:p>
            <w:r>
              <w:rPr>
                <w:rFonts w:ascii="Calibri" w:hAnsi="Calibri"/>
                <w:b/>
                <w:i w:val="0"/>
                <w:color w:val="2E2E2E"/>
                <w:sz w:val="20"/>
              </w:rPr>
              <w:t>FY2025 Revenue</w:t>
            </w:r>
          </w:p>
        </w:tc>
        <w:tc>
          <w:tcPr>
            <w:tcW w:type="dxa" w:w="2880"/>
            <w:shd w:val="clear" w:color="auto" w:fill="EAF7EE"/>
            <w:vAlign w:val="center"/>
          </w:tcPr>
          <w:p>
            <w:pPr>
              <w:jc w:val="center"/>
            </w:pPr>
            <w:r>
              <w:rPr>
                <w:rFonts w:ascii="Calibri" w:hAnsi="Calibri"/>
                <w:b w:val="0"/>
                <w:i w:val="0"/>
                <w:color w:val="2E2E2E"/>
                <w:sz w:val="20"/>
              </w:rPr>
              <w:t>$3.37B</w:t>
            </w:r>
          </w:p>
        </w:tc>
        <w:tc>
          <w:tcPr>
            <w:tcW w:type="dxa" w:w="2880"/>
            <w:shd w:val="clear" w:color="auto" w:fill="EAF7EE"/>
            <w:vAlign w:val="center"/>
          </w:tcPr>
          <w:p>
            <w:pPr>
              <w:jc w:val="center"/>
            </w:pPr>
            <w:r>
              <w:rPr>
                <w:rFonts w:ascii="Calibri" w:hAnsi="Calibri"/>
                <w:b w:val="0"/>
                <w:i w:val="0"/>
                <w:color w:val="2E2E2E"/>
                <w:sz w:val="20"/>
              </w:rPr>
              <w:t>Revenue Growth</w:t>
            </w:r>
          </w:p>
        </w:tc>
        <w:tc>
          <w:tcPr>
            <w:tcW w:type="dxa" w:w="2880"/>
            <w:shd w:val="clear" w:color="auto" w:fill="EAF7EE"/>
            <w:vAlign w:val="center"/>
          </w:tcPr>
          <w:p>
            <w:pPr>
              <w:jc w:val="center"/>
            </w:pPr>
            <w:r>
              <w:rPr>
                <w:rFonts w:ascii="Calibri" w:hAnsi="Calibri"/>
                <w:b w:val="0"/>
                <w:i w:val="0"/>
                <w:color w:val="2E2E2E"/>
                <w:sz w:val="20"/>
              </w:rPr>
              <w:t>+20% YoY</w:t>
            </w:r>
          </w:p>
        </w:tc>
      </w:tr>
      <w:tr>
        <w:tc>
          <w:tcPr>
            <w:tcW w:type="dxa" w:w="2880"/>
            <w:shd w:val="clear" w:color="auto" w:fill="FFFFFF"/>
            <w:vAlign w:val="center"/>
          </w:tcPr>
          <w:p>
            <w:r>
              <w:rPr>
                <w:rFonts w:ascii="Calibri" w:hAnsi="Calibri"/>
                <w:b/>
                <w:i w:val="0"/>
                <w:color w:val="2E2E2E"/>
                <w:sz w:val="20"/>
              </w:rPr>
              <w:t>FY2025 Net Income</w:t>
            </w:r>
          </w:p>
        </w:tc>
        <w:tc>
          <w:tcPr>
            <w:tcW w:type="dxa" w:w="2880"/>
            <w:shd w:val="clear" w:color="auto" w:fill="FFFFFF"/>
            <w:vAlign w:val="center"/>
          </w:tcPr>
          <w:p>
            <w:pPr>
              <w:jc w:val="center"/>
            </w:pPr>
            <w:r>
              <w:rPr>
                <w:rFonts w:ascii="Calibri" w:hAnsi="Calibri"/>
                <w:b w:val="0"/>
                <w:i w:val="0"/>
                <w:color w:val="2E2E2E"/>
                <w:sz w:val="20"/>
              </w:rPr>
              <w:t>$200M</w:t>
            </w:r>
          </w:p>
        </w:tc>
        <w:tc>
          <w:tcPr>
            <w:tcW w:type="dxa" w:w="2880"/>
            <w:shd w:val="clear" w:color="auto" w:fill="FFFFFF"/>
            <w:vAlign w:val="center"/>
          </w:tcPr>
          <w:p>
            <w:pPr>
              <w:jc w:val="center"/>
            </w:pPr>
            <w:r>
              <w:rPr>
                <w:rFonts w:ascii="Calibri" w:hAnsi="Calibri"/>
                <w:b w:val="0"/>
                <w:i w:val="0"/>
                <w:color w:val="2E2E2E"/>
                <w:sz w:val="20"/>
              </w:rPr>
              <w:t>First Profitable Year</w:t>
            </w:r>
          </w:p>
        </w:tc>
        <w:tc>
          <w:tcPr>
            <w:tcW w:type="dxa" w:w="2880"/>
            <w:shd w:val="clear" w:color="auto" w:fill="FFFFFF"/>
            <w:vAlign w:val="center"/>
          </w:tcPr>
          <w:p>
            <w:pPr>
              <w:jc w:val="center"/>
            </w:pPr>
            <w:r>
              <w:rPr>
                <w:rFonts w:ascii="Calibri" w:hAnsi="Calibri"/>
                <w:b w:val="0"/>
                <w:i w:val="0"/>
                <w:color w:val="2E2E2E"/>
                <w:sz w:val="20"/>
              </w:rPr>
              <w:t>Yes</w:t>
            </w:r>
          </w:p>
        </w:tc>
      </w:tr>
      <w:tr>
        <w:tc>
          <w:tcPr>
            <w:tcW w:type="dxa" w:w="2880"/>
            <w:shd w:val="clear" w:color="auto" w:fill="EAF7EE"/>
            <w:vAlign w:val="center"/>
          </w:tcPr>
          <w:p>
            <w:r>
              <w:rPr>
                <w:rFonts w:ascii="Calibri" w:hAnsi="Calibri"/>
                <w:b/>
                <w:i w:val="0"/>
                <w:color w:val="2E2E2E"/>
                <w:sz w:val="20"/>
              </w:rPr>
              <w:t>FY2025 Adj. EBITDA</w:t>
            </w:r>
          </w:p>
        </w:tc>
        <w:tc>
          <w:tcPr>
            <w:tcW w:type="dxa" w:w="2880"/>
            <w:shd w:val="clear" w:color="auto" w:fill="EAF7EE"/>
            <w:vAlign w:val="center"/>
          </w:tcPr>
          <w:p>
            <w:pPr>
              <w:jc w:val="center"/>
            </w:pPr>
            <w:r>
              <w:rPr>
                <w:rFonts w:ascii="Calibri" w:hAnsi="Calibri"/>
                <w:b w:val="0"/>
                <w:i w:val="0"/>
                <w:color w:val="2E2E2E"/>
                <w:sz w:val="20"/>
              </w:rPr>
              <w:t>$500M</w:t>
            </w:r>
          </w:p>
        </w:tc>
        <w:tc>
          <w:tcPr>
            <w:tcW w:type="dxa" w:w="2880"/>
            <w:shd w:val="clear" w:color="auto" w:fill="EAF7EE"/>
            <w:vAlign w:val="center"/>
          </w:tcPr>
          <w:p>
            <w:pPr>
              <w:jc w:val="center"/>
            </w:pPr>
            <w:r>
              <w:rPr>
                <w:rFonts w:ascii="Calibri" w:hAnsi="Calibri"/>
                <w:b w:val="0"/>
                <w:i w:val="0"/>
                <w:color w:val="2E2E2E"/>
                <w:sz w:val="20"/>
              </w:rPr>
              <w:t>EBITDA Growth</w:t>
            </w:r>
          </w:p>
        </w:tc>
        <w:tc>
          <w:tcPr>
            <w:tcW w:type="dxa" w:w="2880"/>
            <w:shd w:val="clear" w:color="auto" w:fill="EAF7EE"/>
            <w:vAlign w:val="center"/>
          </w:tcPr>
          <w:p>
            <w:pPr>
              <w:jc w:val="center"/>
            </w:pPr>
            <w:r>
              <w:rPr>
                <w:rFonts w:ascii="Calibri" w:hAnsi="Calibri"/>
                <w:b w:val="0"/>
                <w:i w:val="0"/>
                <w:color w:val="2E2E2E"/>
                <w:sz w:val="20"/>
              </w:rPr>
              <w:t>+60% YoY</w:t>
            </w:r>
          </w:p>
        </w:tc>
      </w:tr>
      <w:tr>
        <w:tc>
          <w:tcPr>
            <w:tcW w:type="dxa" w:w="2880"/>
            <w:shd w:val="clear" w:color="auto" w:fill="FFFFFF"/>
            <w:vAlign w:val="center"/>
          </w:tcPr>
          <w:p>
            <w:r>
              <w:rPr>
                <w:rFonts w:ascii="Calibri" w:hAnsi="Calibri"/>
                <w:b/>
                <w:i w:val="0"/>
                <w:color w:val="2E2E2E"/>
                <w:sz w:val="20"/>
              </w:rPr>
              <w:t>2026 Rev. Guidance</w:t>
            </w:r>
          </w:p>
        </w:tc>
        <w:tc>
          <w:tcPr>
            <w:tcW w:type="dxa" w:w="2880"/>
            <w:shd w:val="clear" w:color="auto" w:fill="FFFFFF"/>
            <w:vAlign w:val="center"/>
          </w:tcPr>
          <w:p>
            <w:pPr>
              <w:jc w:val="center"/>
            </w:pPr>
            <w:r>
              <w:rPr>
                <w:rFonts w:ascii="Calibri" w:hAnsi="Calibri"/>
                <w:b w:val="0"/>
                <w:i w:val="0"/>
                <w:color w:val="2E2E2E"/>
                <w:sz w:val="20"/>
              </w:rPr>
              <w:t>$4.04–4.10B</w:t>
            </w:r>
          </w:p>
        </w:tc>
        <w:tc>
          <w:tcPr>
            <w:tcW w:type="dxa" w:w="2880"/>
            <w:shd w:val="clear" w:color="auto" w:fill="FFFFFF"/>
            <w:vAlign w:val="center"/>
          </w:tcPr>
          <w:p>
            <w:pPr>
              <w:jc w:val="center"/>
            </w:pPr>
            <w:r>
              <w:rPr>
                <w:rFonts w:ascii="Calibri" w:hAnsi="Calibri"/>
                <w:b w:val="0"/>
                <w:i w:val="0"/>
                <w:color w:val="2E2E2E"/>
                <w:sz w:val="20"/>
              </w:rPr>
              <w:t>2026 EBITDA Guide</w:t>
            </w:r>
          </w:p>
        </w:tc>
        <w:tc>
          <w:tcPr>
            <w:tcW w:type="dxa" w:w="2880"/>
            <w:shd w:val="clear" w:color="auto" w:fill="FFFFFF"/>
            <w:vAlign w:val="center"/>
          </w:tcPr>
          <w:p>
            <w:pPr>
              <w:jc w:val="center"/>
            </w:pPr>
            <w:r>
              <w:rPr>
                <w:rFonts w:ascii="Calibri" w:hAnsi="Calibri"/>
                <w:b w:val="0"/>
                <w:i w:val="0"/>
                <w:color w:val="2E2E2E"/>
                <w:sz w:val="20"/>
              </w:rPr>
              <w:t>$700–720M</w:t>
            </w:r>
          </w:p>
        </w:tc>
      </w:tr>
      <w:tr>
        <w:tc>
          <w:tcPr>
            <w:tcW w:type="dxa" w:w="2880"/>
            <w:shd w:val="clear" w:color="auto" w:fill="EAF7EE"/>
            <w:vAlign w:val="center"/>
          </w:tcPr>
          <w:p>
            <w:r>
              <w:rPr>
                <w:rFonts w:ascii="Calibri" w:hAnsi="Calibri"/>
                <w:b/>
                <w:i w:val="0"/>
                <w:color w:val="2E2E2E"/>
                <w:sz w:val="20"/>
              </w:rPr>
              <w:t>Q4'25 MTUs</w:t>
            </w:r>
          </w:p>
        </w:tc>
        <w:tc>
          <w:tcPr>
            <w:tcW w:type="dxa" w:w="2880"/>
            <w:shd w:val="clear" w:color="auto" w:fill="EAF7EE"/>
            <w:vAlign w:val="center"/>
          </w:tcPr>
          <w:p>
            <w:pPr>
              <w:jc w:val="center"/>
            </w:pPr>
            <w:r>
              <w:rPr>
                <w:rFonts w:ascii="Calibri" w:hAnsi="Calibri"/>
                <w:b w:val="0"/>
                <w:i w:val="0"/>
                <w:color w:val="2E2E2E"/>
                <w:sz w:val="20"/>
              </w:rPr>
              <w:t>50.5M (record)</w:t>
            </w:r>
          </w:p>
        </w:tc>
        <w:tc>
          <w:tcPr>
            <w:tcW w:type="dxa" w:w="2880"/>
            <w:shd w:val="clear" w:color="auto" w:fill="EAF7EE"/>
            <w:vAlign w:val="center"/>
          </w:tcPr>
          <w:p>
            <w:pPr>
              <w:jc w:val="center"/>
            </w:pPr>
            <w:r>
              <w:rPr>
                <w:rFonts w:ascii="Calibri" w:hAnsi="Calibri"/>
                <w:b w:val="0"/>
                <w:i w:val="0"/>
                <w:color w:val="2E2E2E"/>
                <w:sz w:val="20"/>
              </w:rPr>
              <w:t>Cash &amp; Investments</w:t>
            </w:r>
          </w:p>
        </w:tc>
        <w:tc>
          <w:tcPr>
            <w:tcW w:type="dxa" w:w="2880"/>
            <w:shd w:val="clear" w:color="auto" w:fill="EAF7EE"/>
            <w:vAlign w:val="center"/>
          </w:tcPr>
          <w:p>
            <w:pPr>
              <w:jc w:val="center"/>
            </w:pPr>
            <w:r>
              <w:rPr>
                <w:rFonts w:ascii="Calibri" w:hAnsi="Calibri"/>
                <w:b w:val="0"/>
                <w:i w:val="0"/>
                <w:color w:val="2E2E2E"/>
                <w:sz w:val="20"/>
              </w:rPr>
              <w:t>~$7.4B</w:t>
            </w:r>
          </w:p>
        </w:tc>
      </w:tr>
      <w:tr>
        <w:tc>
          <w:tcPr>
            <w:tcW w:type="dxa" w:w="2880"/>
            <w:shd w:val="clear" w:color="auto" w:fill="FFFFFF"/>
            <w:vAlign w:val="center"/>
          </w:tcPr>
          <w:p>
            <w:r>
              <w:rPr>
                <w:rFonts w:ascii="Calibri" w:hAnsi="Calibri"/>
                <w:b/>
                <w:i w:val="0"/>
                <w:color w:val="2E2E2E"/>
                <w:sz w:val="20"/>
              </w:rPr>
              <w:t>Analyst Ratings</w:t>
            </w:r>
          </w:p>
        </w:tc>
        <w:tc>
          <w:tcPr>
            <w:tcW w:type="dxa" w:w="2880"/>
            <w:shd w:val="clear" w:color="auto" w:fill="FFFFFF"/>
            <w:vAlign w:val="center"/>
          </w:tcPr>
          <w:p>
            <w:pPr>
              <w:jc w:val="center"/>
            </w:pPr>
            <w:r>
              <w:rPr>
                <w:rFonts w:ascii="Calibri" w:hAnsi="Calibri"/>
                <w:b w:val="0"/>
                <w:i w:val="0"/>
                <w:color w:val="2E2E2E"/>
                <w:sz w:val="20"/>
              </w:rPr>
              <w:t>23 Buy / 0 Hold / 0 Sell</w:t>
            </w:r>
          </w:p>
        </w:tc>
        <w:tc>
          <w:tcPr>
            <w:tcW w:type="dxa" w:w="2880"/>
            <w:shd w:val="clear" w:color="auto" w:fill="FFFFFF"/>
            <w:vAlign w:val="center"/>
          </w:tcPr>
          <w:p>
            <w:pPr>
              <w:jc w:val="center"/>
            </w:pPr>
            <w:r>
              <w:rPr>
                <w:rFonts w:ascii="Calibri" w:hAnsi="Calibri"/>
                <w:b w:val="0"/>
                <w:i w:val="0"/>
                <w:color w:val="2E2E2E"/>
                <w:sz w:val="20"/>
              </w:rPr>
              <w:t>EV/Revenue (FY25)</w:t>
            </w:r>
          </w:p>
        </w:tc>
        <w:tc>
          <w:tcPr>
            <w:tcW w:type="dxa" w:w="2880"/>
            <w:shd w:val="clear" w:color="auto" w:fill="FFFFFF"/>
            <w:vAlign w:val="center"/>
          </w:tcPr>
          <w:p>
            <w:pPr>
              <w:jc w:val="center"/>
            </w:pPr>
            <w:r>
              <w:rPr>
                <w:rFonts w:ascii="Calibri" w:hAnsi="Calibri"/>
                <w:b w:val="0"/>
                <w:i w:val="0"/>
                <w:color w:val="2E2E2E"/>
                <w:sz w:val="20"/>
              </w:rPr>
              <w:t>~4.5x</w:t>
            </w:r>
          </w:p>
        </w:tc>
      </w:tr>
    </w:tbl>
    <w:p>
      <w:pPr>
        <w:spacing w:before="0" w:after="200"/>
      </w:pPr>
    </w:p>
    <w:p>
      <w:pPr>
        <w:spacing w:before="120" w:after="120"/>
        <w:jc w:val="center"/>
      </w:pPr>
      <w:r>
        <w:rPr>
          <w:rFonts w:ascii="Calibri" w:hAnsi="Calibri"/>
          <w:b/>
          <w:i w:val="0"/>
          <w:color w:val="2E2E2E"/>
          <w:sz w:val="24"/>
        </w:rPr>
        <w:t xml:space="preserve">INVESTMENT RATING: </w:t>
      </w:r>
      <w:r>
        <w:rPr>
          <w:rFonts w:ascii="Calibri" w:hAnsi="Calibri"/>
          <w:b/>
          <w:i w:val="0"/>
          <w:color w:val="00B14F"/>
          <w:sz w:val="24"/>
        </w:rPr>
        <w:t>OUTPERFORM  |  12-month Price Target: $6.75</w:t>
      </w:r>
    </w:p>
    <w:p>
      <w:pPr>
        <w:spacing w:before="0" w:after="480"/>
        <w:jc w:val="center"/>
      </w:pPr>
      <w:r>
        <w:rPr>
          <w:rFonts w:ascii="Calibri" w:hAnsi="Calibri"/>
          <w:b w:val="0"/>
          <w:i/>
          <w:color w:val="555555"/>
          <w:sz w:val="17"/>
        </w:rPr>
        <w:t>This document is for informational purposes only and does not constitute investment advice. All figures sourced from Grab Holdings investor relations, SEC filings, and publicly available data.</w:t>
      </w:r>
    </w:p>
    <w:p>
      <w:r>
        <w:br w:type="page"/>
      </w:r>
    </w:p>
    <w:p>
      <w:pPr>
        <w:spacing w:before="280" w:after="80"/>
        <w:pBdr>
          <w:bottom w:val="single" w:sz="6" w:space="1" w:color="00B14F"/>
        </w:pBdr>
      </w:pPr>
      <w:r>
        <w:rPr>
          <w:rFonts w:ascii="Calibri" w:hAnsi="Calibri"/>
          <w:b/>
          <w:i w:val="0"/>
          <w:color w:val="00B14F"/>
          <w:sz w:val="30"/>
        </w:rPr>
        <w:t>PHASE 1 — BUSINESS OVERVIEW</w:t>
      </w:r>
    </w:p>
    <w:p>
      <w:pPr>
        <w:spacing w:before="200" w:after="60"/>
      </w:pPr>
      <w:r>
        <w:rPr>
          <w:rFonts w:ascii="Calibri" w:hAnsi="Calibri"/>
          <w:b/>
          <w:i w:val="0"/>
          <w:color w:val="2E2E2E"/>
          <w:sz w:val="24"/>
        </w:rPr>
        <w:t>Company Description</w:t>
      </w:r>
    </w:p>
    <w:p>
      <w:pPr>
        <w:spacing w:before="0" w:after="80"/>
      </w:pPr>
      <w:r>
        <w:rPr>
          <w:rFonts w:ascii="Calibri" w:hAnsi="Calibri"/>
          <w:b w:val="0"/>
          <w:i w:val="0"/>
          <w:color w:val="2E2E2E"/>
          <w:sz w:val="21"/>
        </w:rPr>
        <w:t>Grab Holdings Limited (NASDAQ: GRAB) is Southeast Asia's leading superapp, operating an integrated platform that spans ride-hailing, food and grocery delivery, package delivery, digital payments, lending, insurance, and enterprise services. Founded in 2012 in Kuala Lumpur, Malaysia as MyTeksi, Grab has evolved from a taxi-booking app into one of the most comprehensive digital ecosystems in the developing world, processing over $24B in annualised On-Demand GMV as of late 2025. The company is incorporated in the Cayman Islands and listed on NASDAQ via a SPAC merger completed in December 2021.</w:t>
      </w:r>
    </w:p>
    <w:p>
      <w:pPr>
        <w:spacing w:before="200" w:after="60"/>
      </w:pPr>
      <w:r>
        <w:rPr>
          <w:rFonts w:ascii="Calibri" w:hAnsi="Calibri"/>
          <w:b/>
          <w:i w:val="0"/>
          <w:color w:val="2E2E2E"/>
          <w:sz w:val="24"/>
        </w:rPr>
        <w:t>Geographic Presence</w:t>
      </w:r>
    </w:p>
    <w:p>
      <w:pPr>
        <w:spacing w:before="0" w:after="80"/>
      </w:pPr>
      <w:r>
        <w:rPr>
          <w:rFonts w:ascii="Calibri" w:hAnsi="Calibri"/>
          <w:b w:val="0"/>
          <w:i w:val="0"/>
          <w:color w:val="2E2E2E"/>
          <w:sz w:val="21"/>
        </w:rPr>
        <w:t>Grab operates across 8 Southeast Asian countries — Singapore, Indonesia, Malaysia, the Philippines, Thailand, Vietnam, Cambodia, and Myanmar — serving more than 800 cities. Singapore, Indonesia, and Malaysia account for over 70% of total revenues, reflecting the more developed digital infrastructure and higher consumer spending power in these markets. Indonesia, the fourth most populous nation in the world with 280M+ people, is Grab's largest single addressable market by population. Vietnam and the Philippines represent high-growth frontier markets where penetration is still relatively low.</w:t>
      </w:r>
    </w:p>
    <w:p>
      <w:pPr>
        <w:spacing w:before="200" w:after="60"/>
      </w:pPr>
      <w:r>
        <w:rPr>
          <w:rFonts w:ascii="Calibri" w:hAnsi="Calibri"/>
          <w:b/>
          <w:i w:val="0"/>
          <w:color w:val="2E2E2E"/>
          <w:sz w:val="24"/>
        </w:rPr>
        <w:t>Business Segments</w:t>
      </w:r>
    </w:p>
    <w:p>
      <w:pPr>
        <w:spacing w:before="0" w:after="80"/>
      </w:pPr>
      <w:r>
        <w:rPr>
          <w:rFonts w:ascii="Calibri" w:hAnsi="Calibri"/>
          <w:b w:val="0"/>
          <w:i w:val="0"/>
          <w:color w:val="2E2E2E"/>
          <w:sz w:val="21"/>
        </w:rPr>
        <w:t>Grab operates across three reportable segments: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A7A3F"/>
            <w:vAlign w:val="center"/>
          </w:tcPr>
          <w:p>
            <w:pPr>
              <w:jc w:val="center"/>
            </w:pPr>
            <w:r>
              <w:rPr>
                <w:rFonts w:ascii="Calibri" w:hAnsi="Calibri"/>
                <w:b/>
                <w:i w:val="0"/>
                <w:color w:val="FFFFFF"/>
                <w:sz w:val="20"/>
              </w:rPr>
              <w:t>Segment</w:t>
            </w:r>
          </w:p>
        </w:tc>
        <w:tc>
          <w:tcPr>
            <w:tcW w:type="dxa" w:w="3168"/>
            <w:shd w:val="clear" w:color="auto" w:fill="1A7A3F"/>
            <w:vAlign w:val="center"/>
          </w:tcPr>
          <w:p>
            <w:pPr>
              <w:jc w:val="center"/>
            </w:pPr>
            <w:r>
              <w:rPr>
                <w:rFonts w:ascii="Calibri" w:hAnsi="Calibri"/>
                <w:b/>
                <w:i w:val="0"/>
                <w:color w:val="FFFFFF"/>
                <w:sz w:val="20"/>
              </w:rPr>
              <w:t>Core Products</w:t>
            </w:r>
          </w:p>
        </w:tc>
        <w:tc>
          <w:tcPr>
            <w:tcW w:type="dxa" w:w="3168"/>
            <w:shd w:val="clear" w:color="auto" w:fill="1A7A3F"/>
            <w:vAlign w:val="center"/>
          </w:tcPr>
          <w:p>
            <w:pPr>
              <w:jc w:val="center"/>
            </w:pPr>
            <w:r>
              <w:rPr>
                <w:rFonts w:ascii="Calibri" w:hAnsi="Calibri"/>
                <w:b/>
                <w:i w:val="0"/>
                <w:color w:val="FFFFFF"/>
                <w:sz w:val="20"/>
              </w:rPr>
              <w:t>Revenue Driver</w:t>
            </w:r>
          </w:p>
        </w:tc>
        <w:tc>
          <w:tcPr>
            <w:tcW w:type="dxa" w:w="3600"/>
            <w:shd w:val="clear" w:color="auto" w:fill="1A7A3F"/>
            <w:vAlign w:val="center"/>
          </w:tcPr>
          <w:p>
            <w:pPr>
              <w:jc w:val="center"/>
            </w:pPr>
            <w:r>
              <w:rPr>
                <w:rFonts w:ascii="Calibri" w:hAnsi="Calibri"/>
                <w:b/>
                <w:i w:val="0"/>
                <w:color w:val="FFFFFF"/>
                <w:sz w:val="20"/>
              </w:rPr>
              <w:t>FY2024 Contribution</w:t>
            </w:r>
          </w:p>
        </w:tc>
      </w:tr>
      <w:tr>
        <w:tc>
          <w:tcPr>
            <w:tcW w:type="dxa" w:w="2160"/>
            <w:shd w:val="clear" w:color="auto" w:fill="EAF7EE"/>
            <w:vAlign w:val="center"/>
          </w:tcPr>
          <w:p>
            <w:r>
              <w:rPr>
                <w:rFonts w:ascii="Calibri" w:hAnsi="Calibri"/>
                <w:b/>
                <w:i w:val="0"/>
                <w:color w:val="2E2E2E"/>
                <w:sz w:val="20"/>
              </w:rPr>
              <w:t>Deliveries</w:t>
            </w:r>
          </w:p>
        </w:tc>
        <w:tc>
          <w:tcPr>
            <w:tcW w:type="dxa" w:w="3168"/>
            <w:shd w:val="clear" w:color="auto" w:fill="EAF7EE"/>
            <w:vAlign w:val="center"/>
          </w:tcPr>
          <w:p>
            <w:pPr>
              <w:jc w:val="center"/>
            </w:pPr>
            <w:r>
              <w:rPr>
                <w:rFonts w:ascii="Calibri" w:hAnsi="Calibri"/>
                <w:b w:val="0"/>
                <w:i w:val="0"/>
                <w:color w:val="2E2E2E"/>
                <w:sz w:val="20"/>
              </w:rPr>
              <w:t>GrabFood, GrabMart, GrabExpress</w:t>
            </w:r>
          </w:p>
        </w:tc>
        <w:tc>
          <w:tcPr>
            <w:tcW w:type="dxa" w:w="3168"/>
            <w:shd w:val="clear" w:color="auto" w:fill="EAF7EE"/>
            <w:vAlign w:val="center"/>
          </w:tcPr>
          <w:p>
            <w:pPr>
              <w:jc w:val="center"/>
            </w:pPr>
            <w:r>
              <w:rPr>
                <w:rFonts w:ascii="Calibri" w:hAnsi="Calibri"/>
                <w:b w:val="0"/>
                <w:i w:val="0"/>
                <w:color w:val="2E2E2E"/>
                <w:sz w:val="20"/>
              </w:rPr>
              <w:t>Commission on orders, advertising</w:t>
            </w:r>
          </w:p>
        </w:tc>
        <w:tc>
          <w:tcPr>
            <w:tcW w:type="dxa" w:w="3600"/>
            <w:shd w:val="clear" w:color="auto" w:fill="EAF7EE"/>
            <w:vAlign w:val="center"/>
          </w:tcPr>
          <w:p>
            <w:pPr>
              <w:jc w:val="center"/>
            </w:pPr>
            <w:r>
              <w:rPr>
                <w:rFonts w:ascii="Calibri" w:hAnsi="Calibri"/>
                <w:b w:val="0"/>
                <w:i w:val="0"/>
                <w:color w:val="2E2E2E"/>
                <w:sz w:val="20"/>
              </w:rPr>
              <w:t>Largest (~55% GMV)</w:t>
            </w:r>
          </w:p>
        </w:tc>
      </w:tr>
      <w:tr>
        <w:tc>
          <w:tcPr>
            <w:tcW w:type="dxa" w:w="2160"/>
            <w:shd w:val="clear" w:color="auto" w:fill="FFFFFF"/>
            <w:vAlign w:val="center"/>
          </w:tcPr>
          <w:p>
            <w:r>
              <w:rPr>
                <w:rFonts w:ascii="Calibri" w:hAnsi="Calibri"/>
                <w:b/>
                <w:i w:val="0"/>
                <w:color w:val="2E2E2E"/>
                <w:sz w:val="20"/>
              </w:rPr>
              <w:t>Mobility</w:t>
            </w:r>
          </w:p>
        </w:tc>
        <w:tc>
          <w:tcPr>
            <w:tcW w:type="dxa" w:w="3168"/>
            <w:shd w:val="clear" w:color="auto" w:fill="FFFFFF"/>
            <w:vAlign w:val="center"/>
          </w:tcPr>
          <w:p>
            <w:pPr>
              <w:jc w:val="center"/>
            </w:pPr>
            <w:r>
              <w:rPr>
                <w:rFonts w:ascii="Calibri" w:hAnsi="Calibri"/>
                <w:b w:val="0"/>
                <w:i w:val="0"/>
                <w:color w:val="2E2E2E"/>
                <w:sz w:val="20"/>
              </w:rPr>
              <w:t>Ride-hailing (cars, motorcycles)</w:t>
            </w:r>
          </w:p>
        </w:tc>
        <w:tc>
          <w:tcPr>
            <w:tcW w:type="dxa" w:w="3168"/>
            <w:shd w:val="clear" w:color="auto" w:fill="FFFFFF"/>
            <w:vAlign w:val="center"/>
          </w:tcPr>
          <w:p>
            <w:pPr>
              <w:jc w:val="center"/>
            </w:pPr>
            <w:r>
              <w:rPr>
                <w:rFonts w:ascii="Calibri" w:hAnsi="Calibri"/>
                <w:b w:val="0"/>
                <w:i w:val="0"/>
                <w:color w:val="2E2E2E"/>
                <w:sz w:val="20"/>
              </w:rPr>
              <w:t>Commission per ride</w:t>
            </w:r>
          </w:p>
        </w:tc>
        <w:tc>
          <w:tcPr>
            <w:tcW w:type="dxa" w:w="3600"/>
            <w:shd w:val="clear" w:color="auto" w:fill="FFFFFF"/>
            <w:vAlign w:val="center"/>
          </w:tcPr>
          <w:p>
            <w:pPr>
              <w:jc w:val="center"/>
            </w:pPr>
            <w:r>
              <w:rPr>
                <w:rFonts w:ascii="Calibri" w:hAnsi="Calibri"/>
                <w:b w:val="0"/>
                <w:i w:val="0"/>
                <w:color w:val="2E2E2E"/>
                <w:sz w:val="20"/>
              </w:rPr>
              <w:t>~32% of On-Demand GMV</w:t>
            </w:r>
          </w:p>
        </w:tc>
      </w:tr>
      <w:tr>
        <w:tc>
          <w:tcPr>
            <w:tcW w:type="dxa" w:w="2160"/>
            <w:shd w:val="clear" w:color="auto" w:fill="EAF7EE"/>
            <w:vAlign w:val="center"/>
          </w:tcPr>
          <w:p>
            <w:r>
              <w:rPr>
                <w:rFonts w:ascii="Calibri" w:hAnsi="Calibri"/>
                <w:b/>
                <w:i w:val="0"/>
                <w:color w:val="2E2E2E"/>
                <w:sz w:val="20"/>
              </w:rPr>
              <w:t>Financial Services</w:t>
            </w:r>
          </w:p>
        </w:tc>
        <w:tc>
          <w:tcPr>
            <w:tcW w:type="dxa" w:w="3168"/>
            <w:shd w:val="clear" w:color="auto" w:fill="EAF7EE"/>
            <w:vAlign w:val="center"/>
          </w:tcPr>
          <w:p>
            <w:pPr>
              <w:jc w:val="center"/>
            </w:pPr>
            <w:r>
              <w:rPr>
                <w:rFonts w:ascii="Calibri" w:hAnsi="Calibri"/>
                <w:b w:val="0"/>
                <w:i w:val="0"/>
                <w:color w:val="2E2E2E"/>
                <w:sz w:val="20"/>
              </w:rPr>
              <w:t>GrabPay, GrabFin lending, insurance, digital banking (GXS Bank)</w:t>
            </w:r>
          </w:p>
        </w:tc>
        <w:tc>
          <w:tcPr>
            <w:tcW w:type="dxa" w:w="3168"/>
            <w:shd w:val="clear" w:color="auto" w:fill="EAF7EE"/>
            <w:vAlign w:val="center"/>
          </w:tcPr>
          <w:p>
            <w:pPr>
              <w:jc w:val="center"/>
            </w:pPr>
            <w:r>
              <w:rPr>
                <w:rFonts w:ascii="Calibri" w:hAnsi="Calibri"/>
                <w:b w:val="0"/>
                <w:i w:val="0"/>
                <w:color w:val="2E2E2E"/>
                <w:sz w:val="20"/>
              </w:rPr>
              <w:t>Interest income, transaction fees</w:t>
            </w:r>
          </w:p>
        </w:tc>
        <w:tc>
          <w:tcPr>
            <w:tcW w:type="dxa" w:w="3600"/>
            <w:shd w:val="clear" w:color="auto" w:fill="EAF7EE"/>
            <w:vAlign w:val="center"/>
          </w:tcPr>
          <w:p>
            <w:pPr>
              <w:jc w:val="center"/>
            </w:pPr>
            <w:r>
              <w:rPr>
                <w:rFonts w:ascii="Calibri" w:hAnsi="Calibri"/>
                <w:b w:val="0"/>
                <w:i w:val="0"/>
                <w:color w:val="2E2E2E"/>
                <w:sz w:val="20"/>
              </w:rPr>
              <w:t>Fastest-growing (~9% revenue)</w:t>
            </w:r>
          </w:p>
        </w:tc>
      </w:tr>
    </w:tbl>
    <w:p>
      <w:pPr>
        <w:spacing w:before="0" w:after="120"/>
      </w:pPr>
    </w:p>
    <w:p>
      <w:pPr>
        <w:spacing w:before="120" w:after="40"/>
      </w:pPr>
      <w:r>
        <w:rPr>
          <w:rFonts w:ascii="Calibri" w:hAnsi="Calibri"/>
          <w:b/>
          <w:i w:val="0"/>
          <w:color w:val="555555"/>
          <w:sz w:val="22"/>
        </w:rPr>
        <w:t>Deliveries Segment</w:t>
      </w:r>
    </w:p>
    <w:p>
      <w:pPr>
        <w:spacing w:before="0" w:after="80"/>
      </w:pPr>
      <w:r>
        <w:rPr>
          <w:rFonts w:ascii="Calibri" w:hAnsi="Calibri"/>
          <w:b w:val="0"/>
          <w:i w:val="0"/>
          <w:color w:val="2E2E2E"/>
          <w:sz w:val="21"/>
        </w:rPr>
        <w:t>The Deliveries segment — encompassing GrabFood, GrabMart (grocery/convenience), and GrabExpress (packages) — is Grab's largest by GMV, generating $13.1B of On-Demand Deliveries GMV in FY2024 (+19% YoY). Food delivery remains the dominant sub-category, with Grab holding approximately 54–55% market share across Southeast Asia in 2024–2025. Deliveries GMV in Q4 2024 alone was $3.2B, reaching an all-time high in both transactions and Monthly Transacting Users (MTUs).</w:t>
      </w:r>
    </w:p>
    <w:p>
      <w:pPr>
        <w:spacing w:before="120" w:after="40"/>
      </w:pPr>
      <w:r>
        <w:rPr>
          <w:rFonts w:ascii="Calibri" w:hAnsi="Calibri"/>
          <w:b/>
          <w:i w:val="0"/>
          <w:color w:val="555555"/>
          <w:sz w:val="22"/>
        </w:rPr>
        <w:t>Mobility Segment</w:t>
      </w:r>
    </w:p>
    <w:p>
      <w:pPr>
        <w:spacing w:before="0" w:after="80"/>
      </w:pPr>
      <w:r>
        <w:rPr>
          <w:rFonts w:ascii="Calibri" w:hAnsi="Calibri"/>
          <w:b w:val="0"/>
          <w:i w:val="0"/>
          <w:color w:val="2E2E2E"/>
          <w:sz w:val="21"/>
        </w:rPr>
        <w:t>The Mobility segment covers ride-hailing across private cars (GrabCar), motorcycles (GrabBike), and taxis. Mobility GMV for FY2024 was approximately $5.3B, with Q4 2024 growing 23% YoY to $1.8B. Mobility MTUs grew 22% YoY in Q4 2024 with average order frequency up 5% — suggesting both new user acquisition and increased engagement from existing riders.</w:t>
      </w:r>
    </w:p>
    <w:p>
      <w:pPr>
        <w:spacing w:before="120" w:after="40"/>
      </w:pPr>
      <w:r>
        <w:rPr>
          <w:rFonts w:ascii="Calibri" w:hAnsi="Calibri"/>
          <w:b/>
          <w:i w:val="0"/>
          <w:color w:val="555555"/>
          <w:sz w:val="22"/>
        </w:rPr>
        <w:t>Financial Services (GrabFin)</w:t>
      </w:r>
    </w:p>
    <w:p>
      <w:pPr>
        <w:spacing w:before="0" w:after="80"/>
      </w:pPr>
      <w:r>
        <w:rPr>
          <w:rFonts w:ascii="Calibri" w:hAnsi="Calibri"/>
          <w:b w:val="0"/>
          <w:i w:val="0"/>
          <w:color w:val="2E2E2E"/>
          <w:sz w:val="21"/>
        </w:rPr>
        <w:t>GrabFin is the highest-growth and highest-optionality segment. It encompasses GrabPay (mobile wallet and payment acceptance), a consumer and merchant lending platform, insurance products, and two digital banks. GXS Bank (Singapore, with Singtel) was launched in August 2022 and GX Bank Berhad (Malaysia) opened in November 2023 as Malaysia's first digital bank. GrabFin revenue grew 53% YoY in Q1 2024, 54% in Q2 2024, and 34% in Q3 2024. Total loans disbursed reached $639M in Q4 2024 (+44% YoY) with the loan portfolio outstanding at $536M (+64% YoY). Total digital bank deposits surpassed $1.2B. The company targeted a loan book exceeding $1B by end of 2025.</w:t>
      </w:r>
    </w:p>
    <w:p>
      <w:pPr>
        <w:spacing w:before="200" w:after="60"/>
      </w:pPr>
      <w:r>
        <w:rPr>
          <w:rFonts w:ascii="Calibri" w:hAnsi="Calibri"/>
          <w:b/>
          <w:i w:val="0"/>
          <w:color w:val="2E2E2E"/>
          <w:sz w:val="24"/>
        </w:rPr>
        <w:t>Revenue Model &amp; Monetisation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A7A3F"/>
            <w:vAlign w:val="center"/>
          </w:tcPr>
          <w:p>
            <w:pPr>
              <w:jc w:val="center"/>
            </w:pPr>
            <w:r>
              <w:rPr>
                <w:rFonts w:ascii="Calibri" w:hAnsi="Calibri"/>
                <w:b/>
                <w:i w:val="0"/>
                <w:color w:val="FFFFFF"/>
                <w:sz w:val="20"/>
              </w:rPr>
              <w:t>Revenue Stream</w:t>
            </w:r>
          </w:p>
        </w:tc>
        <w:tc>
          <w:tcPr>
            <w:tcW w:type="dxa" w:w="5472"/>
            <w:shd w:val="clear" w:color="auto" w:fill="1A7A3F"/>
            <w:vAlign w:val="center"/>
          </w:tcPr>
          <w:p>
            <w:pPr>
              <w:jc w:val="center"/>
            </w:pPr>
            <w:r>
              <w:rPr>
                <w:rFonts w:ascii="Calibri" w:hAnsi="Calibri"/>
                <w:b/>
                <w:i w:val="0"/>
                <w:color w:val="FFFFFF"/>
                <w:sz w:val="20"/>
              </w:rPr>
              <w:t>How It Works</w:t>
            </w:r>
          </w:p>
        </w:tc>
        <w:tc>
          <w:tcPr>
            <w:tcW w:type="dxa" w:w="3456"/>
            <w:shd w:val="clear" w:color="auto" w:fill="1A7A3F"/>
            <w:vAlign w:val="center"/>
          </w:tcPr>
          <w:p>
            <w:pPr>
              <w:jc w:val="center"/>
            </w:pPr>
            <w:r>
              <w:rPr>
                <w:rFonts w:ascii="Calibri" w:hAnsi="Calibri"/>
                <w:b/>
                <w:i w:val="0"/>
                <w:color w:val="FFFFFF"/>
                <w:sz w:val="20"/>
              </w:rPr>
              <w:t>Take Rate / Margin</w:t>
            </w:r>
          </w:p>
        </w:tc>
      </w:tr>
      <w:tr>
        <w:tc>
          <w:tcPr>
            <w:tcW w:type="dxa" w:w="3168"/>
            <w:shd w:val="clear" w:color="auto" w:fill="EAF7EE"/>
            <w:vAlign w:val="center"/>
          </w:tcPr>
          <w:p>
            <w:r>
              <w:rPr>
                <w:rFonts w:ascii="Calibri" w:hAnsi="Calibri"/>
                <w:b/>
                <w:i w:val="0"/>
                <w:color w:val="2E2E2E"/>
                <w:sz w:val="20"/>
              </w:rPr>
              <w:t>Delivery Commissions</w:t>
            </w:r>
          </w:p>
        </w:tc>
        <w:tc>
          <w:tcPr>
            <w:tcW w:type="dxa" w:w="5472"/>
            <w:shd w:val="clear" w:color="auto" w:fill="EAF7EE"/>
            <w:vAlign w:val="center"/>
          </w:tcPr>
          <w:p>
            <w:pPr>
              <w:jc w:val="center"/>
            </w:pPr>
            <w:r>
              <w:rPr>
                <w:rFonts w:ascii="Calibri" w:hAnsi="Calibri"/>
                <w:b w:val="0"/>
                <w:i w:val="0"/>
                <w:color w:val="2E2E2E"/>
                <w:sz w:val="20"/>
              </w:rPr>
              <w:t>% of GMV charged to restaurant/merchant partners</w:t>
            </w:r>
          </w:p>
        </w:tc>
        <w:tc>
          <w:tcPr>
            <w:tcW w:type="dxa" w:w="3456"/>
            <w:shd w:val="clear" w:color="auto" w:fill="EAF7EE"/>
            <w:vAlign w:val="center"/>
          </w:tcPr>
          <w:p>
            <w:pPr>
              <w:jc w:val="center"/>
            </w:pPr>
            <w:r>
              <w:rPr>
                <w:rFonts w:ascii="Calibri" w:hAnsi="Calibri"/>
                <w:b w:val="0"/>
                <w:i w:val="0"/>
                <w:color w:val="2E2E2E"/>
                <w:sz w:val="20"/>
              </w:rPr>
              <w:t>~15–20% of delivery GMV</w:t>
            </w:r>
          </w:p>
        </w:tc>
      </w:tr>
      <w:tr>
        <w:tc>
          <w:tcPr>
            <w:tcW w:type="dxa" w:w="3168"/>
            <w:shd w:val="clear" w:color="auto" w:fill="FFFFFF"/>
            <w:vAlign w:val="center"/>
          </w:tcPr>
          <w:p>
            <w:r>
              <w:rPr>
                <w:rFonts w:ascii="Calibri" w:hAnsi="Calibri"/>
                <w:b/>
                <w:i w:val="0"/>
                <w:color w:val="2E2E2E"/>
                <w:sz w:val="20"/>
              </w:rPr>
              <w:t>Ride Commissions</w:t>
            </w:r>
          </w:p>
        </w:tc>
        <w:tc>
          <w:tcPr>
            <w:tcW w:type="dxa" w:w="5472"/>
            <w:shd w:val="clear" w:color="auto" w:fill="FFFFFF"/>
            <w:vAlign w:val="center"/>
          </w:tcPr>
          <w:p>
            <w:pPr>
              <w:jc w:val="center"/>
            </w:pPr>
            <w:r>
              <w:rPr>
                <w:rFonts w:ascii="Calibri" w:hAnsi="Calibri"/>
                <w:b w:val="0"/>
                <w:i w:val="0"/>
                <w:color w:val="2E2E2E"/>
                <w:sz w:val="20"/>
              </w:rPr>
              <w:t>% of fare charged to driver-partners</w:t>
            </w:r>
          </w:p>
        </w:tc>
        <w:tc>
          <w:tcPr>
            <w:tcW w:type="dxa" w:w="3456"/>
            <w:shd w:val="clear" w:color="auto" w:fill="FFFFFF"/>
            <w:vAlign w:val="center"/>
          </w:tcPr>
          <w:p>
            <w:pPr>
              <w:jc w:val="center"/>
            </w:pPr>
            <w:r>
              <w:rPr>
                <w:rFonts w:ascii="Calibri" w:hAnsi="Calibri"/>
                <w:b w:val="0"/>
                <w:i w:val="0"/>
                <w:color w:val="2E2E2E"/>
                <w:sz w:val="20"/>
              </w:rPr>
              <w:t>~25–30% of mobility GMV</w:t>
            </w:r>
          </w:p>
        </w:tc>
      </w:tr>
      <w:tr>
        <w:tc>
          <w:tcPr>
            <w:tcW w:type="dxa" w:w="3168"/>
            <w:shd w:val="clear" w:color="auto" w:fill="EAF7EE"/>
            <w:vAlign w:val="center"/>
          </w:tcPr>
          <w:p>
            <w:r>
              <w:rPr>
                <w:rFonts w:ascii="Calibri" w:hAnsi="Calibri"/>
                <w:b/>
                <w:i w:val="0"/>
                <w:color w:val="2E2E2E"/>
                <w:sz w:val="20"/>
              </w:rPr>
              <w:t>Advertising (GrabAds)</w:t>
            </w:r>
          </w:p>
        </w:tc>
        <w:tc>
          <w:tcPr>
            <w:tcW w:type="dxa" w:w="5472"/>
            <w:shd w:val="clear" w:color="auto" w:fill="EAF7EE"/>
            <w:vAlign w:val="center"/>
          </w:tcPr>
          <w:p>
            <w:pPr>
              <w:jc w:val="center"/>
            </w:pPr>
            <w:r>
              <w:rPr>
                <w:rFonts w:ascii="Calibri" w:hAnsi="Calibri"/>
                <w:b w:val="0"/>
                <w:i w:val="0"/>
                <w:color w:val="2E2E2E"/>
                <w:sz w:val="20"/>
              </w:rPr>
              <w:t>CPM/CPC ads within Grab apps to restaurants, brands</w:t>
            </w:r>
          </w:p>
        </w:tc>
        <w:tc>
          <w:tcPr>
            <w:tcW w:type="dxa" w:w="3456"/>
            <w:shd w:val="clear" w:color="auto" w:fill="EAF7EE"/>
            <w:vAlign w:val="center"/>
          </w:tcPr>
          <w:p>
            <w:pPr>
              <w:jc w:val="center"/>
            </w:pPr>
            <w:r>
              <w:rPr>
                <w:rFonts w:ascii="Calibri" w:hAnsi="Calibri"/>
                <w:b w:val="0"/>
                <w:i w:val="0"/>
                <w:color w:val="2E2E2E"/>
                <w:sz w:val="20"/>
              </w:rPr>
              <w:t>High-margin, growing</w:t>
            </w:r>
          </w:p>
        </w:tc>
      </w:tr>
      <w:tr>
        <w:tc>
          <w:tcPr>
            <w:tcW w:type="dxa" w:w="3168"/>
            <w:shd w:val="clear" w:color="auto" w:fill="FFFFFF"/>
            <w:vAlign w:val="center"/>
          </w:tcPr>
          <w:p>
            <w:r>
              <w:rPr>
                <w:rFonts w:ascii="Calibri" w:hAnsi="Calibri"/>
                <w:b/>
                <w:i w:val="0"/>
                <w:color w:val="2E2E2E"/>
                <w:sz w:val="20"/>
              </w:rPr>
              <w:t>GrabFin Lending</w:t>
            </w:r>
          </w:p>
        </w:tc>
        <w:tc>
          <w:tcPr>
            <w:tcW w:type="dxa" w:w="5472"/>
            <w:shd w:val="clear" w:color="auto" w:fill="FFFFFF"/>
            <w:vAlign w:val="center"/>
          </w:tcPr>
          <w:p>
            <w:pPr>
              <w:jc w:val="center"/>
            </w:pPr>
            <w:r>
              <w:rPr>
                <w:rFonts w:ascii="Calibri" w:hAnsi="Calibri"/>
                <w:b w:val="0"/>
                <w:i w:val="0"/>
                <w:color w:val="2E2E2E"/>
                <w:sz w:val="20"/>
              </w:rPr>
              <w:t>Interest on consumer/merchant loans; originated on-platform</w:t>
            </w:r>
          </w:p>
        </w:tc>
        <w:tc>
          <w:tcPr>
            <w:tcW w:type="dxa" w:w="3456"/>
            <w:shd w:val="clear" w:color="auto" w:fill="FFFFFF"/>
            <w:vAlign w:val="center"/>
          </w:tcPr>
          <w:p>
            <w:pPr>
              <w:jc w:val="center"/>
            </w:pPr>
            <w:r>
              <w:rPr>
                <w:rFonts w:ascii="Calibri" w:hAnsi="Calibri"/>
                <w:b w:val="0"/>
                <w:i w:val="0"/>
                <w:color w:val="2E2E2E"/>
                <w:sz w:val="20"/>
              </w:rPr>
              <w:t>Net interest margin ~10%+</w:t>
            </w:r>
          </w:p>
        </w:tc>
      </w:tr>
      <w:tr>
        <w:tc>
          <w:tcPr>
            <w:tcW w:type="dxa" w:w="3168"/>
            <w:shd w:val="clear" w:color="auto" w:fill="EAF7EE"/>
            <w:vAlign w:val="center"/>
          </w:tcPr>
          <w:p>
            <w:r>
              <w:rPr>
                <w:rFonts w:ascii="Calibri" w:hAnsi="Calibri"/>
                <w:b/>
                <w:i w:val="0"/>
                <w:color w:val="2E2E2E"/>
                <w:sz w:val="20"/>
              </w:rPr>
              <w:t>Digital Bank Revenue</w:t>
            </w:r>
          </w:p>
        </w:tc>
        <w:tc>
          <w:tcPr>
            <w:tcW w:type="dxa" w:w="5472"/>
            <w:shd w:val="clear" w:color="auto" w:fill="EAF7EE"/>
            <w:vAlign w:val="center"/>
          </w:tcPr>
          <w:p>
            <w:pPr>
              <w:jc w:val="center"/>
            </w:pPr>
            <w:r>
              <w:rPr>
                <w:rFonts w:ascii="Calibri" w:hAnsi="Calibri"/>
                <w:b w:val="0"/>
                <w:i w:val="0"/>
                <w:color w:val="2E2E2E"/>
                <w:sz w:val="20"/>
              </w:rPr>
              <w:t>Net interest income from deposits/loans at GXS &amp; GX Bank</w:t>
            </w:r>
          </w:p>
        </w:tc>
        <w:tc>
          <w:tcPr>
            <w:tcW w:type="dxa" w:w="3456"/>
            <w:shd w:val="clear" w:color="auto" w:fill="EAF7EE"/>
            <w:vAlign w:val="center"/>
          </w:tcPr>
          <w:p>
            <w:pPr>
              <w:jc w:val="center"/>
            </w:pPr>
            <w:r>
              <w:rPr>
                <w:rFonts w:ascii="Calibri" w:hAnsi="Calibri"/>
                <w:b w:val="0"/>
                <w:i w:val="0"/>
                <w:color w:val="2E2E2E"/>
                <w:sz w:val="20"/>
              </w:rPr>
              <w:t>Growing from small base</w:t>
            </w:r>
          </w:p>
        </w:tc>
      </w:tr>
      <w:tr>
        <w:tc>
          <w:tcPr>
            <w:tcW w:type="dxa" w:w="3168"/>
            <w:shd w:val="clear" w:color="auto" w:fill="FFFFFF"/>
            <w:vAlign w:val="center"/>
          </w:tcPr>
          <w:p>
            <w:r>
              <w:rPr>
                <w:rFonts w:ascii="Calibri" w:hAnsi="Calibri"/>
                <w:b/>
                <w:i w:val="0"/>
                <w:color w:val="2E2E2E"/>
                <w:sz w:val="20"/>
              </w:rPr>
              <w:t>Insurance</w:t>
            </w:r>
          </w:p>
        </w:tc>
        <w:tc>
          <w:tcPr>
            <w:tcW w:type="dxa" w:w="5472"/>
            <w:shd w:val="clear" w:color="auto" w:fill="FFFFFF"/>
            <w:vAlign w:val="center"/>
          </w:tcPr>
          <w:p>
            <w:pPr>
              <w:jc w:val="center"/>
            </w:pPr>
            <w:r>
              <w:rPr>
                <w:rFonts w:ascii="Calibri" w:hAnsi="Calibri"/>
                <w:b w:val="0"/>
                <w:i w:val="0"/>
                <w:color w:val="2E2E2E"/>
                <w:sz w:val="20"/>
              </w:rPr>
              <w:t>Commission on policies distributed through app</w:t>
            </w:r>
          </w:p>
        </w:tc>
        <w:tc>
          <w:tcPr>
            <w:tcW w:type="dxa" w:w="3456"/>
            <w:shd w:val="clear" w:color="auto" w:fill="FFFFFF"/>
            <w:vAlign w:val="center"/>
          </w:tcPr>
          <w:p>
            <w:pPr>
              <w:jc w:val="center"/>
            </w:pPr>
            <w:r>
              <w:rPr>
                <w:rFonts w:ascii="Calibri" w:hAnsi="Calibri"/>
                <w:b w:val="0"/>
                <w:i w:val="0"/>
                <w:color w:val="2E2E2E"/>
                <w:sz w:val="20"/>
              </w:rPr>
              <w:t>Pass-through + commission</w:t>
            </w:r>
          </w:p>
        </w:tc>
      </w:tr>
      <w:tr>
        <w:tc>
          <w:tcPr>
            <w:tcW w:type="dxa" w:w="3168"/>
            <w:shd w:val="clear" w:color="auto" w:fill="EAF7EE"/>
            <w:vAlign w:val="center"/>
          </w:tcPr>
          <w:p>
            <w:r>
              <w:rPr>
                <w:rFonts w:ascii="Calibri" w:hAnsi="Calibri"/>
                <w:b/>
                <w:i w:val="0"/>
                <w:color w:val="2E2E2E"/>
                <w:sz w:val="20"/>
              </w:rPr>
              <w:t>Subscriptions</w:t>
            </w:r>
          </w:p>
        </w:tc>
        <w:tc>
          <w:tcPr>
            <w:tcW w:type="dxa" w:w="5472"/>
            <w:shd w:val="clear" w:color="auto" w:fill="EAF7EE"/>
            <w:vAlign w:val="center"/>
          </w:tcPr>
          <w:p>
            <w:pPr>
              <w:jc w:val="center"/>
            </w:pPr>
            <w:r>
              <w:rPr>
                <w:rFonts w:ascii="Calibri" w:hAnsi="Calibri"/>
                <w:b w:val="0"/>
                <w:i w:val="0"/>
                <w:color w:val="2E2E2E"/>
                <w:sz w:val="20"/>
              </w:rPr>
              <w:t>GrabUnlimited membership</w:t>
            </w:r>
          </w:p>
        </w:tc>
        <w:tc>
          <w:tcPr>
            <w:tcW w:type="dxa" w:w="3456"/>
            <w:shd w:val="clear" w:color="auto" w:fill="EAF7EE"/>
            <w:vAlign w:val="center"/>
          </w:tcPr>
          <w:p>
            <w:pPr>
              <w:jc w:val="center"/>
            </w:pPr>
            <w:r>
              <w:rPr>
                <w:rFonts w:ascii="Calibri" w:hAnsi="Calibri"/>
                <w:b w:val="0"/>
                <w:i w:val="0"/>
                <w:color w:val="2E2E2E"/>
                <w:sz w:val="20"/>
              </w:rPr>
              <w:t>Fixed monthly fee</w:t>
            </w:r>
          </w:p>
        </w:tc>
      </w:tr>
    </w:tbl>
    <w:p>
      <w:pPr>
        <w:spacing w:before="0" w:after="120"/>
      </w:pPr>
    </w:p>
    <w:p>
      <w:pPr>
        <w:spacing w:before="200" w:after="60"/>
      </w:pPr>
      <w:r>
        <w:rPr>
          <w:rFonts w:ascii="Calibri" w:hAnsi="Calibri"/>
          <w:b/>
          <w:i w:val="0"/>
          <w:color w:val="2E2E2E"/>
          <w:sz w:val="24"/>
        </w:rPr>
        <w:t>GMV &amp; Take Rate Dynamics</w:t>
      </w:r>
    </w:p>
    <w:p>
      <w:pPr>
        <w:spacing w:before="0" w:after="80"/>
      </w:pPr>
      <w:r>
        <w:rPr>
          <w:rFonts w:ascii="Calibri" w:hAnsi="Calibri"/>
          <w:b w:val="0"/>
          <w:i w:val="0"/>
          <w:color w:val="2E2E2E"/>
          <w:sz w:val="21"/>
        </w:rPr>
        <w:t>In FY2024, total On-Demand GMV reached $18.4B (+16% YoY, +19% on constant currency). Grab's revenue as a percentage of GMV (blended take rate) is approximately 15% for the total on-demand business, reflecting commissions net of incentives paid to driver-partners and consumers. On-Demand incentives as a % of GMV increased to 10.1% in Q4 2024 (from 9.4% in Q4 2023), reflecting competitive pressure from ShopeeFood and the need to invest in user growth in strategic markets.</w:t>
      </w:r>
    </w:p>
    <w:p>
      <w:r>
        <w:br w:type="page"/>
      </w:r>
    </w:p>
    <w:p>
      <w:pPr>
        <w:spacing w:before="280" w:after="80"/>
        <w:pBdr>
          <w:bottom w:val="single" w:sz="6" w:space="1" w:color="00B14F"/>
        </w:pBdr>
      </w:pPr>
      <w:r>
        <w:rPr>
          <w:rFonts w:ascii="Calibri" w:hAnsi="Calibri"/>
          <w:b/>
          <w:i w:val="0"/>
          <w:color w:val="00B14F"/>
          <w:sz w:val="30"/>
        </w:rPr>
        <w:t>PHASE 2 — FINANCIAL ANALYSIS</w:t>
      </w:r>
    </w:p>
    <w:p>
      <w:pPr>
        <w:spacing w:before="200" w:after="60"/>
      </w:pPr>
      <w:r>
        <w:rPr>
          <w:rFonts w:ascii="Calibri" w:hAnsi="Calibri"/>
          <w:b/>
          <w:i w:val="0"/>
          <w:color w:val="2E2E2E"/>
          <w:sz w:val="24"/>
        </w:rPr>
        <w:t>Revenue Trajectory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val="clear" w:color="auto" w:fill="1A7A3F"/>
            <w:vAlign w:val="center"/>
          </w:tcPr>
          <w:p>
            <w:pPr>
              <w:jc w:val="center"/>
            </w:pPr>
            <w:r>
              <w:rPr>
                <w:rFonts w:ascii="Calibri" w:hAnsi="Calibri"/>
                <w:b/>
                <w:i w:val="0"/>
                <w:color w:val="FFFFFF"/>
                <w:sz w:val="20"/>
              </w:rPr>
              <w:t>Period</w:t>
            </w:r>
          </w:p>
        </w:tc>
        <w:tc>
          <w:tcPr>
            <w:tcW w:type="dxa" w:w="2016"/>
            <w:shd w:val="clear" w:color="auto" w:fill="1A7A3F"/>
            <w:vAlign w:val="center"/>
          </w:tcPr>
          <w:p>
            <w:pPr>
              <w:jc w:val="center"/>
            </w:pPr>
            <w:r>
              <w:rPr>
                <w:rFonts w:ascii="Calibri" w:hAnsi="Calibri"/>
                <w:b/>
                <w:i w:val="0"/>
                <w:color w:val="FFFFFF"/>
                <w:sz w:val="20"/>
              </w:rPr>
              <w:t>Revenue</w:t>
            </w:r>
          </w:p>
        </w:tc>
        <w:tc>
          <w:tcPr>
            <w:tcW w:type="dxa" w:w="1728"/>
            <w:shd w:val="clear" w:color="auto" w:fill="1A7A3F"/>
            <w:vAlign w:val="center"/>
          </w:tcPr>
          <w:p>
            <w:pPr>
              <w:jc w:val="center"/>
            </w:pPr>
            <w:r>
              <w:rPr>
                <w:rFonts w:ascii="Calibri" w:hAnsi="Calibri"/>
                <w:b/>
                <w:i w:val="0"/>
                <w:color w:val="FFFFFF"/>
                <w:sz w:val="20"/>
              </w:rPr>
              <w:t>YoY Growth</w:t>
            </w:r>
          </w:p>
        </w:tc>
        <w:tc>
          <w:tcPr>
            <w:tcW w:type="dxa" w:w="1872"/>
            <w:shd w:val="clear" w:color="auto" w:fill="1A7A3F"/>
            <w:vAlign w:val="center"/>
          </w:tcPr>
          <w:p>
            <w:pPr>
              <w:jc w:val="center"/>
            </w:pPr>
            <w:r>
              <w:rPr>
                <w:rFonts w:ascii="Calibri" w:hAnsi="Calibri"/>
                <w:b/>
                <w:i w:val="0"/>
                <w:color w:val="FFFFFF"/>
                <w:sz w:val="20"/>
              </w:rPr>
              <w:t>Adj. EBITDA</w:t>
            </w:r>
          </w:p>
        </w:tc>
        <w:tc>
          <w:tcPr>
            <w:tcW w:type="dxa" w:w="2016"/>
            <w:shd w:val="clear" w:color="auto" w:fill="1A7A3F"/>
            <w:vAlign w:val="center"/>
          </w:tcPr>
          <w:p>
            <w:pPr>
              <w:jc w:val="center"/>
            </w:pPr>
            <w:r>
              <w:rPr>
                <w:rFonts w:ascii="Calibri" w:hAnsi="Calibri"/>
                <w:b/>
                <w:i w:val="0"/>
                <w:color w:val="FFFFFF"/>
                <w:sz w:val="20"/>
              </w:rPr>
              <w:t>EBITDA Margin</w:t>
            </w:r>
          </w:p>
        </w:tc>
        <w:tc>
          <w:tcPr>
            <w:tcW w:type="dxa" w:w="2592"/>
            <w:shd w:val="clear" w:color="auto" w:fill="1A7A3F"/>
            <w:vAlign w:val="center"/>
          </w:tcPr>
          <w:p>
            <w:pPr>
              <w:jc w:val="center"/>
            </w:pPr>
            <w:r>
              <w:rPr>
                <w:rFonts w:ascii="Calibri" w:hAnsi="Calibri"/>
                <w:b/>
                <w:i w:val="0"/>
                <w:color w:val="FFFFFF"/>
                <w:sz w:val="20"/>
              </w:rPr>
              <w:t>Net Income/(Loss)</w:t>
            </w:r>
          </w:p>
        </w:tc>
      </w:tr>
      <w:tr>
        <w:tc>
          <w:tcPr>
            <w:tcW w:type="dxa" w:w="1872"/>
            <w:shd w:val="clear" w:color="auto" w:fill="EAF7EE"/>
            <w:vAlign w:val="center"/>
          </w:tcPr>
          <w:p>
            <w:r>
              <w:rPr>
                <w:rFonts w:ascii="Calibri" w:hAnsi="Calibri"/>
                <w:b/>
                <w:i w:val="0"/>
                <w:color w:val="2E2E2E"/>
                <w:sz w:val="20"/>
              </w:rPr>
              <w:t>FY2021</w:t>
            </w:r>
          </w:p>
        </w:tc>
        <w:tc>
          <w:tcPr>
            <w:tcW w:type="dxa" w:w="2016"/>
            <w:shd w:val="clear" w:color="auto" w:fill="EAF7EE"/>
            <w:vAlign w:val="center"/>
          </w:tcPr>
          <w:p>
            <w:pPr>
              <w:jc w:val="center"/>
            </w:pPr>
            <w:r>
              <w:rPr>
                <w:rFonts w:ascii="Calibri" w:hAnsi="Calibri"/>
                <w:b w:val="0"/>
                <w:i w:val="0"/>
                <w:color w:val="2E2E2E"/>
                <w:sz w:val="20"/>
              </w:rPr>
              <w:t>$675M</w:t>
            </w:r>
          </w:p>
        </w:tc>
        <w:tc>
          <w:tcPr>
            <w:tcW w:type="dxa" w:w="1728"/>
            <w:shd w:val="clear" w:color="auto" w:fill="EAF7EE"/>
            <w:vAlign w:val="center"/>
          </w:tcPr>
          <w:p>
            <w:pPr>
              <w:jc w:val="center"/>
            </w:pPr>
            <w:r>
              <w:rPr>
                <w:rFonts w:ascii="Calibri" w:hAnsi="Calibri"/>
                <w:b w:val="0"/>
                <w:i w:val="0"/>
                <w:color w:val="2E2E2E"/>
                <w:sz w:val="20"/>
              </w:rPr>
              <w:t>—</w:t>
            </w:r>
          </w:p>
        </w:tc>
        <w:tc>
          <w:tcPr>
            <w:tcW w:type="dxa" w:w="1872"/>
            <w:shd w:val="clear" w:color="auto" w:fill="EAF7EE"/>
            <w:vAlign w:val="center"/>
          </w:tcPr>
          <w:p>
            <w:pPr>
              <w:jc w:val="center"/>
            </w:pPr>
            <w:r>
              <w:rPr>
                <w:rFonts w:ascii="Calibri" w:hAnsi="Calibri"/>
                <w:b w:val="0"/>
                <w:i w:val="0"/>
                <w:color w:val="2E2E2E"/>
                <w:sz w:val="20"/>
              </w:rPr>
              <w:t>$(998M)</w:t>
            </w:r>
          </w:p>
        </w:tc>
        <w:tc>
          <w:tcPr>
            <w:tcW w:type="dxa" w:w="2016"/>
            <w:shd w:val="clear" w:color="auto" w:fill="EAF7EE"/>
            <w:vAlign w:val="center"/>
          </w:tcPr>
          <w:p>
            <w:pPr>
              <w:jc w:val="center"/>
            </w:pPr>
            <w:r>
              <w:rPr>
                <w:rFonts w:ascii="Calibri" w:hAnsi="Calibri"/>
                <w:b w:val="0"/>
                <w:i w:val="0"/>
                <w:color w:val="2E2E2E"/>
                <w:sz w:val="20"/>
              </w:rPr>
              <w:t>NM</w:t>
            </w:r>
          </w:p>
        </w:tc>
        <w:tc>
          <w:tcPr>
            <w:tcW w:type="dxa" w:w="2592"/>
            <w:shd w:val="clear" w:color="auto" w:fill="EAF7EE"/>
            <w:vAlign w:val="center"/>
          </w:tcPr>
          <w:p>
            <w:pPr>
              <w:jc w:val="center"/>
            </w:pPr>
            <w:r>
              <w:rPr>
                <w:rFonts w:ascii="Calibri" w:hAnsi="Calibri"/>
                <w:b w:val="0"/>
                <w:i w:val="0"/>
                <w:color w:val="2E2E2E"/>
                <w:sz w:val="20"/>
              </w:rPr>
              <w:t>$(3,553M)</w:t>
            </w:r>
          </w:p>
        </w:tc>
      </w:tr>
      <w:tr>
        <w:tc>
          <w:tcPr>
            <w:tcW w:type="dxa" w:w="1872"/>
            <w:shd w:val="clear" w:color="auto" w:fill="FFFFFF"/>
            <w:vAlign w:val="center"/>
          </w:tcPr>
          <w:p>
            <w:r>
              <w:rPr>
                <w:rFonts w:ascii="Calibri" w:hAnsi="Calibri"/>
                <w:b/>
                <w:i w:val="0"/>
                <w:color w:val="2E2E2E"/>
                <w:sz w:val="20"/>
              </w:rPr>
              <w:t>FY2022</w:t>
            </w:r>
          </w:p>
        </w:tc>
        <w:tc>
          <w:tcPr>
            <w:tcW w:type="dxa" w:w="2016"/>
            <w:shd w:val="clear" w:color="auto" w:fill="FFFFFF"/>
            <w:vAlign w:val="center"/>
          </w:tcPr>
          <w:p>
            <w:pPr>
              <w:jc w:val="center"/>
            </w:pPr>
            <w:r>
              <w:rPr>
                <w:rFonts w:ascii="Calibri" w:hAnsi="Calibri"/>
                <w:b w:val="0"/>
                <w:i w:val="0"/>
                <w:color w:val="2E2E2E"/>
                <w:sz w:val="20"/>
              </w:rPr>
              <w:t>$1,431M</w:t>
            </w:r>
          </w:p>
        </w:tc>
        <w:tc>
          <w:tcPr>
            <w:tcW w:type="dxa" w:w="1728"/>
            <w:shd w:val="clear" w:color="auto" w:fill="FFFFFF"/>
            <w:vAlign w:val="center"/>
          </w:tcPr>
          <w:p>
            <w:pPr>
              <w:jc w:val="center"/>
            </w:pPr>
            <w:r>
              <w:rPr>
                <w:rFonts w:ascii="Calibri" w:hAnsi="Calibri"/>
                <w:b w:val="0"/>
                <w:i w:val="0"/>
                <w:color w:val="2E2E2E"/>
                <w:sz w:val="20"/>
              </w:rPr>
              <w:t>+112%</w:t>
            </w:r>
          </w:p>
        </w:tc>
        <w:tc>
          <w:tcPr>
            <w:tcW w:type="dxa" w:w="1872"/>
            <w:shd w:val="clear" w:color="auto" w:fill="FFFFFF"/>
            <w:vAlign w:val="center"/>
          </w:tcPr>
          <w:p>
            <w:pPr>
              <w:jc w:val="center"/>
            </w:pPr>
            <w:r>
              <w:rPr>
                <w:rFonts w:ascii="Calibri" w:hAnsi="Calibri"/>
                <w:b w:val="0"/>
                <w:i w:val="0"/>
                <w:color w:val="2E2E2E"/>
                <w:sz w:val="20"/>
              </w:rPr>
              <w:t>$(793M)</w:t>
            </w:r>
          </w:p>
        </w:tc>
        <w:tc>
          <w:tcPr>
            <w:tcW w:type="dxa" w:w="2016"/>
            <w:shd w:val="clear" w:color="auto" w:fill="FFFFFF"/>
            <w:vAlign w:val="center"/>
          </w:tcPr>
          <w:p>
            <w:pPr>
              <w:jc w:val="center"/>
            </w:pPr>
            <w:r>
              <w:rPr>
                <w:rFonts w:ascii="Calibri" w:hAnsi="Calibri"/>
                <w:b w:val="0"/>
                <w:i w:val="0"/>
                <w:color w:val="2E2E2E"/>
                <w:sz w:val="20"/>
              </w:rPr>
              <w:t>NM</w:t>
            </w:r>
          </w:p>
        </w:tc>
        <w:tc>
          <w:tcPr>
            <w:tcW w:type="dxa" w:w="2592"/>
            <w:shd w:val="clear" w:color="auto" w:fill="FFFFFF"/>
            <w:vAlign w:val="center"/>
          </w:tcPr>
          <w:p>
            <w:pPr>
              <w:jc w:val="center"/>
            </w:pPr>
            <w:r>
              <w:rPr>
                <w:rFonts w:ascii="Calibri" w:hAnsi="Calibri"/>
                <w:b w:val="0"/>
                <w:i w:val="0"/>
                <w:color w:val="2E2E2E"/>
                <w:sz w:val="20"/>
              </w:rPr>
              <w:t>$(1,740M)</w:t>
            </w:r>
          </w:p>
        </w:tc>
      </w:tr>
      <w:tr>
        <w:tc>
          <w:tcPr>
            <w:tcW w:type="dxa" w:w="1872"/>
            <w:shd w:val="clear" w:color="auto" w:fill="EAF7EE"/>
            <w:vAlign w:val="center"/>
          </w:tcPr>
          <w:p>
            <w:r>
              <w:rPr>
                <w:rFonts w:ascii="Calibri" w:hAnsi="Calibri"/>
                <w:b/>
                <w:i w:val="0"/>
                <w:color w:val="2E2E2E"/>
                <w:sz w:val="20"/>
              </w:rPr>
              <w:t>FY2023</w:t>
            </w:r>
          </w:p>
        </w:tc>
        <w:tc>
          <w:tcPr>
            <w:tcW w:type="dxa" w:w="2016"/>
            <w:shd w:val="clear" w:color="auto" w:fill="EAF7EE"/>
            <w:vAlign w:val="center"/>
          </w:tcPr>
          <w:p>
            <w:pPr>
              <w:jc w:val="center"/>
            </w:pPr>
            <w:r>
              <w:rPr>
                <w:rFonts w:ascii="Calibri" w:hAnsi="Calibri"/>
                <w:b w:val="0"/>
                <w:i w:val="0"/>
                <w:color w:val="2E2E2E"/>
                <w:sz w:val="20"/>
              </w:rPr>
              <w:t>$2,359M</w:t>
            </w:r>
          </w:p>
        </w:tc>
        <w:tc>
          <w:tcPr>
            <w:tcW w:type="dxa" w:w="1728"/>
            <w:shd w:val="clear" w:color="auto" w:fill="EAF7EE"/>
            <w:vAlign w:val="center"/>
          </w:tcPr>
          <w:p>
            <w:pPr>
              <w:jc w:val="center"/>
            </w:pPr>
            <w:r>
              <w:rPr>
                <w:rFonts w:ascii="Calibri" w:hAnsi="Calibri"/>
                <w:b w:val="0"/>
                <w:i w:val="0"/>
                <w:color w:val="2E2E2E"/>
                <w:sz w:val="20"/>
              </w:rPr>
              <w:t>+65%</w:t>
            </w:r>
          </w:p>
        </w:tc>
        <w:tc>
          <w:tcPr>
            <w:tcW w:type="dxa" w:w="1872"/>
            <w:shd w:val="clear" w:color="auto" w:fill="EAF7EE"/>
            <w:vAlign w:val="center"/>
          </w:tcPr>
          <w:p>
            <w:pPr>
              <w:jc w:val="center"/>
            </w:pPr>
            <w:r>
              <w:rPr>
                <w:rFonts w:ascii="Calibri" w:hAnsi="Calibri"/>
                <w:b w:val="0"/>
                <w:i w:val="0"/>
                <w:color w:val="2E2E2E"/>
                <w:sz w:val="20"/>
              </w:rPr>
              <w:t>$(22M)</w:t>
            </w:r>
          </w:p>
        </w:tc>
        <w:tc>
          <w:tcPr>
            <w:tcW w:type="dxa" w:w="2016"/>
            <w:shd w:val="clear" w:color="auto" w:fill="EAF7EE"/>
            <w:vAlign w:val="center"/>
          </w:tcPr>
          <w:p>
            <w:pPr>
              <w:jc w:val="center"/>
            </w:pPr>
            <w:r>
              <w:rPr>
                <w:rFonts w:ascii="Calibri" w:hAnsi="Calibri"/>
                <w:b w:val="0"/>
                <w:i w:val="0"/>
                <w:color w:val="2E2E2E"/>
                <w:sz w:val="20"/>
              </w:rPr>
              <w:t>NM</w:t>
            </w:r>
          </w:p>
        </w:tc>
        <w:tc>
          <w:tcPr>
            <w:tcW w:type="dxa" w:w="2592"/>
            <w:shd w:val="clear" w:color="auto" w:fill="EAF7EE"/>
            <w:vAlign w:val="center"/>
          </w:tcPr>
          <w:p>
            <w:pPr>
              <w:jc w:val="center"/>
            </w:pPr>
            <w:r>
              <w:rPr>
                <w:rFonts w:ascii="Calibri" w:hAnsi="Calibri"/>
                <w:b w:val="0"/>
                <w:i w:val="0"/>
                <w:color w:val="2E2E2E"/>
                <w:sz w:val="20"/>
              </w:rPr>
              <w:t>$(485M)</w:t>
            </w:r>
          </w:p>
        </w:tc>
      </w:tr>
      <w:tr>
        <w:tc>
          <w:tcPr>
            <w:tcW w:type="dxa" w:w="1872"/>
            <w:shd w:val="clear" w:color="auto" w:fill="FFFFFF"/>
            <w:vAlign w:val="center"/>
          </w:tcPr>
          <w:p>
            <w:r>
              <w:rPr>
                <w:rFonts w:ascii="Calibri" w:hAnsi="Calibri"/>
                <w:b/>
                <w:i w:val="0"/>
                <w:color w:val="2E2E2E"/>
                <w:sz w:val="20"/>
              </w:rPr>
              <w:t>FY2024</w:t>
            </w:r>
          </w:p>
        </w:tc>
        <w:tc>
          <w:tcPr>
            <w:tcW w:type="dxa" w:w="2016"/>
            <w:shd w:val="clear" w:color="auto" w:fill="FFFFFF"/>
            <w:vAlign w:val="center"/>
          </w:tcPr>
          <w:p>
            <w:pPr>
              <w:jc w:val="center"/>
            </w:pPr>
            <w:r>
              <w:rPr>
                <w:rFonts w:ascii="Calibri" w:hAnsi="Calibri"/>
                <w:b w:val="0"/>
                <w:i w:val="0"/>
                <w:color w:val="2E2E2E"/>
                <w:sz w:val="20"/>
              </w:rPr>
              <w:t>$2,797M</w:t>
            </w:r>
          </w:p>
        </w:tc>
        <w:tc>
          <w:tcPr>
            <w:tcW w:type="dxa" w:w="1728"/>
            <w:shd w:val="clear" w:color="auto" w:fill="FFFFFF"/>
            <w:vAlign w:val="center"/>
          </w:tcPr>
          <w:p>
            <w:pPr>
              <w:jc w:val="center"/>
            </w:pPr>
            <w:r>
              <w:rPr>
                <w:rFonts w:ascii="Calibri" w:hAnsi="Calibri"/>
                <w:b w:val="0"/>
                <w:i w:val="0"/>
                <w:color w:val="2E2E2E"/>
                <w:sz w:val="20"/>
              </w:rPr>
              <w:t>+19%</w:t>
            </w:r>
          </w:p>
        </w:tc>
        <w:tc>
          <w:tcPr>
            <w:tcW w:type="dxa" w:w="1872"/>
            <w:shd w:val="clear" w:color="auto" w:fill="FFFFFF"/>
            <w:vAlign w:val="center"/>
          </w:tcPr>
          <w:p>
            <w:pPr>
              <w:jc w:val="center"/>
            </w:pPr>
            <w:r>
              <w:rPr>
                <w:rFonts w:ascii="Calibri" w:hAnsi="Calibri"/>
                <w:b w:val="0"/>
                <w:i w:val="0"/>
                <w:color w:val="2E2E2E"/>
                <w:sz w:val="20"/>
              </w:rPr>
              <w:t>$313M</w:t>
            </w:r>
          </w:p>
        </w:tc>
        <w:tc>
          <w:tcPr>
            <w:tcW w:type="dxa" w:w="2016"/>
            <w:shd w:val="clear" w:color="auto" w:fill="FFFFFF"/>
            <w:vAlign w:val="center"/>
          </w:tcPr>
          <w:p>
            <w:pPr>
              <w:jc w:val="center"/>
            </w:pPr>
            <w:r>
              <w:rPr>
                <w:rFonts w:ascii="Calibri" w:hAnsi="Calibri"/>
                <w:b w:val="0"/>
                <w:i w:val="0"/>
                <w:color w:val="2E2E2E"/>
                <w:sz w:val="20"/>
              </w:rPr>
              <w:t>+11.2%</w:t>
            </w:r>
          </w:p>
        </w:tc>
        <w:tc>
          <w:tcPr>
            <w:tcW w:type="dxa" w:w="2592"/>
            <w:shd w:val="clear" w:color="auto" w:fill="FFFFFF"/>
            <w:vAlign w:val="center"/>
          </w:tcPr>
          <w:p>
            <w:pPr>
              <w:jc w:val="center"/>
            </w:pPr>
            <w:r>
              <w:rPr>
                <w:rFonts w:ascii="Calibri" w:hAnsi="Calibri"/>
                <w:b w:val="0"/>
                <w:i w:val="0"/>
                <w:color w:val="2E2E2E"/>
                <w:sz w:val="20"/>
              </w:rPr>
              <w:t>$(158M)</w:t>
            </w:r>
          </w:p>
        </w:tc>
      </w:tr>
      <w:tr>
        <w:tc>
          <w:tcPr>
            <w:tcW w:type="dxa" w:w="1872"/>
            <w:shd w:val="clear" w:color="auto" w:fill="EAF7EE"/>
            <w:vAlign w:val="center"/>
          </w:tcPr>
          <w:p>
            <w:r>
              <w:rPr>
                <w:rFonts w:ascii="Calibri" w:hAnsi="Calibri"/>
                <w:b/>
                <w:i w:val="0"/>
                <w:color w:val="2E2E2E"/>
                <w:sz w:val="20"/>
              </w:rPr>
              <w:t>FY2025</w:t>
            </w:r>
          </w:p>
        </w:tc>
        <w:tc>
          <w:tcPr>
            <w:tcW w:type="dxa" w:w="2016"/>
            <w:shd w:val="clear" w:color="auto" w:fill="EAF7EE"/>
            <w:vAlign w:val="center"/>
          </w:tcPr>
          <w:p>
            <w:pPr>
              <w:jc w:val="center"/>
            </w:pPr>
            <w:r>
              <w:rPr>
                <w:rFonts w:ascii="Calibri" w:hAnsi="Calibri"/>
                <w:b w:val="0"/>
                <w:i w:val="0"/>
                <w:color w:val="2E2E2E"/>
                <w:sz w:val="20"/>
              </w:rPr>
              <w:t>$3,370M</w:t>
            </w:r>
          </w:p>
        </w:tc>
        <w:tc>
          <w:tcPr>
            <w:tcW w:type="dxa" w:w="1728"/>
            <w:shd w:val="clear" w:color="auto" w:fill="EAF7EE"/>
            <w:vAlign w:val="center"/>
          </w:tcPr>
          <w:p>
            <w:pPr>
              <w:jc w:val="center"/>
            </w:pPr>
            <w:r>
              <w:rPr>
                <w:rFonts w:ascii="Calibri" w:hAnsi="Calibri"/>
                <w:b w:val="0"/>
                <w:i w:val="0"/>
                <w:color w:val="2E2E2E"/>
                <w:sz w:val="20"/>
              </w:rPr>
              <w:t>+20%</w:t>
            </w:r>
          </w:p>
        </w:tc>
        <w:tc>
          <w:tcPr>
            <w:tcW w:type="dxa" w:w="1872"/>
            <w:shd w:val="clear" w:color="auto" w:fill="EAF7EE"/>
            <w:vAlign w:val="center"/>
          </w:tcPr>
          <w:p>
            <w:pPr>
              <w:jc w:val="center"/>
            </w:pPr>
            <w:r>
              <w:rPr>
                <w:rFonts w:ascii="Calibri" w:hAnsi="Calibri"/>
                <w:b w:val="0"/>
                <w:i w:val="0"/>
                <w:color w:val="2E2E2E"/>
                <w:sz w:val="20"/>
              </w:rPr>
              <w:t>$500M</w:t>
            </w:r>
          </w:p>
        </w:tc>
        <w:tc>
          <w:tcPr>
            <w:tcW w:type="dxa" w:w="2016"/>
            <w:shd w:val="clear" w:color="auto" w:fill="EAF7EE"/>
            <w:vAlign w:val="center"/>
          </w:tcPr>
          <w:p>
            <w:pPr>
              <w:jc w:val="center"/>
            </w:pPr>
            <w:r>
              <w:rPr>
                <w:rFonts w:ascii="Calibri" w:hAnsi="Calibri"/>
                <w:b w:val="0"/>
                <w:i w:val="0"/>
                <w:color w:val="2E2E2E"/>
                <w:sz w:val="20"/>
              </w:rPr>
              <w:t>+14.8%</w:t>
            </w:r>
          </w:p>
        </w:tc>
        <w:tc>
          <w:tcPr>
            <w:tcW w:type="dxa" w:w="2592"/>
            <w:shd w:val="clear" w:color="auto" w:fill="EAF7EE"/>
            <w:vAlign w:val="center"/>
          </w:tcPr>
          <w:p>
            <w:pPr>
              <w:jc w:val="center"/>
            </w:pPr>
            <w:r>
              <w:rPr>
                <w:rFonts w:ascii="Calibri" w:hAnsi="Calibri"/>
                <w:b w:val="0"/>
                <w:i w:val="0"/>
                <w:color w:val="2E2E2E"/>
                <w:sz w:val="20"/>
              </w:rPr>
              <w:t>$200M ✓</w:t>
            </w:r>
          </w:p>
        </w:tc>
      </w:tr>
      <w:tr>
        <w:tc>
          <w:tcPr>
            <w:tcW w:type="dxa" w:w="1872"/>
            <w:shd w:val="clear" w:color="auto" w:fill="FFFFFF"/>
            <w:vAlign w:val="center"/>
          </w:tcPr>
          <w:p>
            <w:r>
              <w:rPr>
                <w:rFonts w:ascii="Calibri" w:hAnsi="Calibri"/>
                <w:b/>
                <w:i w:val="0"/>
                <w:color w:val="2E2E2E"/>
                <w:sz w:val="20"/>
              </w:rPr>
              <w:t>FY2026E</w:t>
            </w:r>
          </w:p>
        </w:tc>
        <w:tc>
          <w:tcPr>
            <w:tcW w:type="dxa" w:w="2016"/>
            <w:shd w:val="clear" w:color="auto" w:fill="FFFFFF"/>
            <w:vAlign w:val="center"/>
          </w:tcPr>
          <w:p>
            <w:pPr>
              <w:jc w:val="center"/>
            </w:pPr>
            <w:r>
              <w:rPr>
                <w:rFonts w:ascii="Calibri" w:hAnsi="Calibri"/>
                <w:b w:val="0"/>
                <w:i w:val="0"/>
                <w:color w:val="2E2E2E"/>
                <w:sz w:val="20"/>
              </w:rPr>
              <w:t>$4,040–4,100M</w:t>
            </w:r>
          </w:p>
        </w:tc>
        <w:tc>
          <w:tcPr>
            <w:tcW w:type="dxa" w:w="1728"/>
            <w:shd w:val="clear" w:color="auto" w:fill="FFFFFF"/>
            <w:vAlign w:val="center"/>
          </w:tcPr>
          <w:p>
            <w:pPr>
              <w:jc w:val="center"/>
            </w:pPr>
            <w:r>
              <w:rPr>
                <w:rFonts w:ascii="Calibri" w:hAnsi="Calibri"/>
                <w:b w:val="0"/>
                <w:i w:val="0"/>
                <w:color w:val="2E2E2E"/>
                <w:sz w:val="20"/>
              </w:rPr>
              <w:t>+20–22%</w:t>
            </w:r>
          </w:p>
        </w:tc>
        <w:tc>
          <w:tcPr>
            <w:tcW w:type="dxa" w:w="1872"/>
            <w:shd w:val="clear" w:color="auto" w:fill="FFFFFF"/>
            <w:vAlign w:val="center"/>
          </w:tcPr>
          <w:p>
            <w:pPr>
              <w:jc w:val="center"/>
            </w:pPr>
            <w:r>
              <w:rPr>
                <w:rFonts w:ascii="Calibri" w:hAnsi="Calibri"/>
                <w:b w:val="0"/>
                <w:i w:val="0"/>
                <w:color w:val="2E2E2E"/>
                <w:sz w:val="20"/>
              </w:rPr>
              <w:t>$700–720M</w:t>
            </w:r>
          </w:p>
        </w:tc>
        <w:tc>
          <w:tcPr>
            <w:tcW w:type="dxa" w:w="2016"/>
            <w:shd w:val="clear" w:color="auto" w:fill="FFFFFF"/>
            <w:vAlign w:val="center"/>
          </w:tcPr>
          <w:p>
            <w:pPr>
              <w:jc w:val="center"/>
            </w:pPr>
            <w:r>
              <w:rPr>
                <w:rFonts w:ascii="Calibri" w:hAnsi="Calibri"/>
                <w:b w:val="0"/>
                <w:i w:val="0"/>
                <w:color w:val="2E2E2E"/>
                <w:sz w:val="20"/>
              </w:rPr>
              <w:t>~17.5%</w:t>
            </w:r>
          </w:p>
        </w:tc>
        <w:tc>
          <w:tcPr>
            <w:tcW w:type="dxa" w:w="2592"/>
            <w:shd w:val="clear" w:color="auto" w:fill="FFFFFF"/>
            <w:vAlign w:val="center"/>
          </w:tcPr>
          <w:p>
            <w:pPr>
              <w:jc w:val="center"/>
            </w:pPr>
            <w:r>
              <w:rPr>
                <w:rFonts w:ascii="Calibri" w:hAnsi="Calibri"/>
                <w:b w:val="0"/>
                <w:i w:val="0"/>
                <w:color w:val="2E2E2E"/>
                <w:sz w:val="20"/>
              </w:rPr>
              <w:t>Positive</w:t>
            </w:r>
          </w:p>
        </w:tc>
      </w:tr>
    </w:tbl>
    <w:p>
      <w:pPr>
        <w:spacing w:before="0" w:after="120"/>
      </w:pPr>
    </w:p>
    <w:p>
      <w:pPr>
        <w:spacing w:before="0" w:after="80"/>
      </w:pPr>
      <w:r>
        <w:rPr>
          <w:rFonts w:ascii="Calibri" w:hAnsi="Calibri"/>
          <w:b w:val="0"/>
          <w:i w:val="0"/>
          <w:color w:val="2E2E2E"/>
          <w:sz w:val="21"/>
        </w:rPr>
        <w:t>The profitability inflection is the central financial narrative. Grab moved from a $(998M) adjusted EBITDA loss in FY2021 to +$313M in FY2024 and +$500M in FY2025 — a swing of over $1.5B in five years. Crucially, FY2025 was Grab's first GAAP-profitable year, reporting net income of $200M. Management has set a 2028 target of $1.5B Adjusted EBITDA with 80% Adjusted Free Cash Flow conversion, implying continued strong operating leverage as the platform scales.</w:t>
      </w:r>
    </w:p>
    <w:p>
      <w:pPr>
        <w:spacing w:before="200" w:after="60"/>
      </w:pPr>
      <w:r>
        <w:rPr>
          <w:rFonts w:ascii="Calibri" w:hAnsi="Calibri"/>
          <w:b/>
          <w:i w:val="0"/>
          <w:color w:val="2E2E2E"/>
          <w:sz w:val="24"/>
        </w:rPr>
        <w:t>Quarterly Progression (2024–2025)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val="clear" w:color="auto" w:fill="1A7A3F"/>
            <w:vAlign w:val="center"/>
          </w:tcPr>
          <w:p>
            <w:pPr>
              <w:jc w:val="center"/>
            </w:pPr>
            <w:r>
              <w:rPr>
                <w:rFonts w:ascii="Calibri" w:hAnsi="Calibri"/>
                <w:b/>
                <w:i w:val="0"/>
                <w:color w:val="FFFFFF"/>
                <w:sz w:val="20"/>
              </w:rPr>
              <w:t>Quarter</w:t>
            </w:r>
          </w:p>
        </w:tc>
        <w:tc>
          <w:tcPr>
            <w:tcW w:type="dxa" w:w="1584"/>
            <w:shd w:val="clear" w:color="auto" w:fill="1A7A3F"/>
            <w:vAlign w:val="center"/>
          </w:tcPr>
          <w:p>
            <w:pPr>
              <w:jc w:val="center"/>
            </w:pPr>
            <w:r>
              <w:rPr>
                <w:rFonts w:ascii="Calibri" w:hAnsi="Calibri"/>
                <w:b/>
                <w:i w:val="0"/>
                <w:color w:val="FFFFFF"/>
                <w:sz w:val="20"/>
              </w:rPr>
              <w:t>Revenue</w:t>
            </w:r>
          </w:p>
        </w:tc>
        <w:tc>
          <w:tcPr>
            <w:tcW w:type="dxa" w:w="1296"/>
            <w:shd w:val="clear" w:color="auto" w:fill="1A7A3F"/>
            <w:vAlign w:val="center"/>
          </w:tcPr>
          <w:p>
            <w:pPr>
              <w:jc w:val="center"/>
            </w:pPr>
            <w:r>
              <w:rPr>
                <w:rFonts w:ascii="Calibri" w:hAnsi="Calibri"/>
                <w:b/>
                <w:i w:val="0"/>
                <w:color w:val="FFFFFF"/>
                <w:sz w:val="20"/>
              </w:rPr>
              <w:t>YoY %</w:t>
            </w:r>
          </w:p>
        </w:tc>
        <w:tc>
          <w:tcPr>
            <w:tcW w:type="dxa" w:w="2016"/>
            <w:shd w:val="clear" w:color="auto" w:fill="1A7A3F"/>
            <w:vAlign w:val="center"/>
          </w:tcPr>
          <w:p>
            <w:pPr>
              <w:jc w:val="center"/>
            </w:pPr>
            <w:r>
              <w:rPr>
                <w:rFonts w:ascii="Calibri" w:hAnsi="Calibri"/>
                <w:b/>
                <w:i w:val="0"/>
                <w:color w:val="FFFFFF"/>
                <w:sz w:val="20"/>
              </w:rPr>
              <w:t>On-Demand GMV</w:t>
            </w:r>
          </w:p>
        </w:tc>
        <w:tc>
          <w:tcPr>
            <w:tcW w:type="dxa" w:w="1728"/>
            <w:shd w:val="clear" w:color="auto" w:fill="1A7A3F"/>
            <w:vAlign w:val="center"/>
          </w:tcPr>
          <w:p>
            <w:pPr>
              <w:jc w:val="center"/>
            </w:pPr>
            <w:r>
              <w:rPr>
                <w:rFonts w:ascii="Calibri" w:hAnsi="Calibri"/>
                <w:b/>
                <w:i w:val="0"/>
                <w:color w:val="FFFFFF"/>
                <w:sz w:val="20"/>
              </w:rPr>
              <w:t>Adj. EBITDA</w:t>
            </w:r>
          </w:p>
        </w:tc>
        <w:tc>
          <w:tcPr>
            <w:tcW w:type="dxa" w:w="2592"/>
            <w:shd w:val="clear" w:color="auto" w:fill="1A7A3F"/>
            <w:vAlign w:val="center"/>
          </w:tcPr>
          <w:p>
            <w:pPr>
              <w:jc w:val="center"/>
            </w:pPr>
            <w:r>
              <w:rPr>
                <w:rFonts w:ascii="Calibri" w:hAnsi="Calibri"/>
                <w:b/>
                <w:i w:val="0"/>
                <w:color w:val="FFFFFF"/>
                <w:sz w:val="20"/>
              </w:rPr>
              <w:t>MTUs</w:t>
            </w:r>
          </w:p>
        </w:tc>
      </w:tr>
      <w:tr>
        <w:tc>
          <w:tcPr>
            <w:tcW w:type="dxa" w:w="1584"/>
            <w:shd w:val="clear" w:color="auto" w:fill="EAF7EE"/>
            <w:vAlign w:val="center"/>
          </w:tcPr>
          <w:p>
            <w:r>
              <w:rPr>
                <w:rFonts w:ascii="Calibri" w:hAnsi="Calibri"/>
                <w:b/>
                <w:i w:val="0"/>
                <w:color w:val="2E2E2E"/>
                <w:sz w:val="20"/>
              </w:rPr>
              <w:t>Q1 2024</w:t>
            </w:r>
          </w:p>
        </w:tc>
        <w:tc>
          <w:tcPr>
            <w:tcW w:type="dxa" w:w="1584"/>
            <w:shd w:val="clear" w:color="auto" w:fill="EAF7EE"/>
            <w:vAlign w:val="center"/>
          </w:tcPr>
          <w:p>
            <w:pPr>
              <w:jc w:val="center"/>
            </w:pPr>
            <w:r>
              <w:rPr>
                <w:rFonts w:ascii="Calibri" w:hAnsi="Calibri"/>
                <w:b w:val="0"/>
                <w:i w:val="0"/>
                <w:color w:val="2E2E2E"/>
                <w:sz w:val="20"/>
              </w:rPr>
              <w:t>$653M</w:t>
            </w:r>
          </w:p>
        </w:tc>
        <w:tc>
          <w:tcPr>
            <w:tcW w:type="dxa" w:w="1296"/>
            <w:shd w:val="clear" w:color="auto" w:fill="EAF7EE"/>
            <w:vAlign w:val="center"/>
          </w:tcPr>
          <w:p>
            <w:pPr>
              <w:jc w:val="center"/>
            </w:pPr>
            <w:r>
              <w:rPr>
                <w:rFonts w:ascii="Calibri" w:hAnsi="Calibri"/>
                <w:b w:val="0"/>
                <w:i w:val="0"/>
                <w:color w:val="2E2E2E"/>
                <w:sz w:val="20"/>
              </w:rPr>
              <w:t>+24%</w:t>
            </w:r>
          </w:p>
        </w:tc>
        <w:tc>
          <w:tcPr>
            <w:tcW w:type="dxa" w:w="2016"/>
            <w:shd w:val="clear" w:color="auto" w:fill="EAF7EE"/>
            <w:vAlign w:val="center"/>
          </w:tcPr>
          <w:p>
            <w:pPr>
              <w:jc w:val="center"/>
            </w:pPr>
            <w:r>
              <w:rPr>
                <w:rFonts w:ascii="Calibri" w:hAnsi="Calibri"/>
                <w:b w:val="0"/>
                <w:i w:val="0"/>
                <w:color w:val="2E2E2E"/>
                <w:sz w:val="20"/>
              </w:rPr>
              <w:t>$4.3B</w:t>
            </w:r>
          </w:p>
        </w:tc>
        <w:tc>
          <w:tcPr>
            <w:tcW w:type="dxa" w:w="1728"/>
            <w:shd w:val="clear" w:color="auto" w:fill="EAF7EE"/>
            <w:vAlign w:val="center"/>
          </w:tcPr>
          <w:p>
            <w:pPr>
              <w:jc w:val="center"/>
            </w:pPr>
            <w:r>
              <w:rPr>
                <w:rFonts w:ascii="Calibri" w:hAnsi="Calibri"/>
                <w:b w:val="0"/>
                <w:i w:val="0"/>
                <w:color w:val="2E2E2E"/>
                <w:sz w:val="20"/>
              </w:rPr>
              <w:t>$62M</w:t>
            </w:r>
          </w:p>
        </w:tc>
        <w:tc>
          <w:tcPr>
            <w:tcW w:type="dxa" w:w="2592"/>
            <w:shd w:val="clear" w:color="auto" w:fill="EAF7EE"/>
            <w:vAlign w:val="center"/>
          </w:tcPr>
          <w:p>
            <w:pPr>
              <w:jc w:val="center"/>
            </w:pPr>
            <w:r>
              <w:rPr>
                <w:rFonts w:ascii="Calibri" w:hAnsi="Calibri"/>
                <w:b w:val="0"/>
                <w:i w:val="0"/>
                <w:color w:val="2E2E2E"/>
                <w:sz w:val="20"/>
              </w:rPr>
              <w:t>39.2M</w:t>
            </w:r>
          </w:p>
        </w:tc>
      </w:tr>
      <w:tr>
        <w:tc>
          <w:tcPr>
            <w:tcW w:type="dxa" w:w="1584"/>
            <w:shd w:val="clear" w:color="auto" w:fill="FFFFFF"/>
            <w:vAlign w:val="center"/>
          </w:tcPr>
          <w:p>
            <w:r>
              <w:rPr>
                <w:rFonts w:ascii="Calibri" w:hAnsi="Calibri"/>
                <w:b/>
                <w:i w:val="0"/>
                <w:color w:val="2E2E2E"/>
                <w:sz w:val="20"/>
              </w:rPr>
              <w:t>Q2 2024</w:t>
            </w:r>
          </w:p>
        </w:tc>
        <w:tc>
          <w:tcPr>
            <w:tcW w:type="dxa" w:w="1584"/>
            <w:shd w:val="clear" w:color="auto" w:fill="FFFFFF"/>
            <w:vAlign w:val="center"/>
          </w:tcPr>
          <w:p>
            <w:pPr>
              <w:jc w:val="center"/>
            </w:pPr>
            <w:r>
              <w:rPr>
                <w:rFonts w:ascii="Calibri" w:hAnsi="Calibri"/>
                <w:b w:val="0"/>
                <w:i w:val="0"/>
                <w:color w:val="2E2E2E"/>
                <w:sz w:val="20"/>
              </w:rPr>
              <w:t>$664M</w:t>
            </w:r>
          </w:p>
        </w:tc>
        <w:tc>
          <w:tcPr>
            <w:tcW w:type="dxa" w:w="1296"/>
            <w:shd w:val="clear" w:color="auto" w:fill="FFFFFF"/>
            <w:vAlign w:val="center"/>
          </w:tcPr>
          <w:p>
            <w:pPr>
              <w:jc w:val="center"/>
            </w:pPr>
            <w:r>
              <w:rPr>
                <w:rFonts w:ascii="Calibri" w:hAnsi="Calibri"/>
                <w:b w:val="0"/>
                <w:i w:val="0"/>
                <w:color w:val="2E2E2E"/>
                <w:sz w:val="20"/>
              </w:rPr>
              <w:t>+17%</w:t>
            </w:r>
          </w:p>
        </w:tc>
        <w:tc>
          <w:tcPr>
            <w:tcW w:type="dxa" w:w="2016"/>
            <w:shd w:val="clear" w:color="auto" w:fill="FFFFFF"/>
            <w:vAlign w:val="center"/>
          </w:tcPr>
          <w:p>
            <w:pPr>
              <w:jc w:val="center"/>
            </w:pPr>
            <w:r>
              <w:rPr>
                <w:rFonts w:ascii="Calibri" w:hAnsi="Calibri"/>
                <w:b w:val="0"/>
                <w:i w:val="0"/>
                <w:color w:val="2E2E2E"/>
                <w:sz w:val="20"/>
              </w:rPr>
              <w:t>$4.5B</w:t>
            </w:r>
          </w:p>
        </w:tc>
        <w:tc>
          <w:tcPr>
            <w:tcW w:type="dxa" w:w="1728"/>
            <w:shd w:val="clear" w:color="auto" w:fill="FFFFFF"/>
            <w:vAlign w:val="center"/>
          </w:tcPr>
          <w:p>
            <w:pPr>
              <w:jc w:val="center"/>
            </w:pPr>
            <w:r>
              <w:rPr>
                <w:rFonts w:ascii="Calibri" w:hAnsi="Calibri"/>
                <w:b w:val="0"/>
                <w:i w:val="0"/>
                <w:color w:val="2E2E2E"/>
                <w:sz w:val="20"/>
              </w:rPr>
              <w:t>$70M</w:t>
            </w:r>
          </w:p>
        </w:tc>
        <w:tc>
          <w:tcPr>
            <w:tcW w:type="dxa" w:w="2592"/>
            <w:shd w:val="clear" w:color="auto" w:fill="FFFFFF"/>
            <w:vAlign w:val="center"/>
          </w:tcPr>
          <w:p>
            <w:pPr>
              <w:jc w:val="center"/>
            </w:pPr>
            <w:r>
              <w:rPr>
                <w:rFonts w:ascii="Calibri" w:hAnsi="Calibri"/>
                <w:b w:val="0"/>
                <w:i w:val="0"/>
                <w:color w:val="2E2E2E"/>
                <w:sz w:val="20"/>
              </w:rPr>
              <w:t>40.4M</w:t>
            </w:r>
          </w:p>
        </w:tc>
      </w:tr>
      <w:tr>
        <w:tc>
          <w:tcPr>
            <w:tcW w:type="dxa" w:w="1584"/>
            <w:shd w:val="clear" w:color="auto" w:fill="EAF7EE"/>
            <w:vAlign w:val="center"/>
          </w:tcPr>
          <w:p>
            <w:r>
              <w:rPr>
                <w:rFonts w:ascii="Calibri" w:hAnsi="Calibri"/>
                <w:b/>
                <w:i w:val="0"/>
                <w:color w:val="2E2E2E"/>
                <w:sz w:val="20"/>
              </w:rPr>
              <w:t>Q3 2024</w:t>
            </w:r>
          </w:p>
        </w:tc>
        <w:tc>
          <w:tcPr>
            <w:tcW w:type="dxa" w:w="1584"/>
            <w:shd w:val="clear" w:color="auto" w:fill="EAF7EE"/>
            <w:vAlign w:val="center"/>
          </w:tcPr>
          <w:p>
            <w:pPr>
              <w:jc w:val="center"/>
            </w:pPr>
            <w:r>
              <w:rPr>
                <w:rFonts w:ascii="Calibri" w:hAnsi="Calibri"/>
                <w:b w:val="0"/>
                <w:i w:val="0"/>
                <w:color w:val="2E2E2E"/>
                <w:sz w:val="20"/>
              </w:rPr>
              <w:t>$716M</w:t>
            </w:r>
          </w:p>
        </w:tc>
        <w:tc>
          <w:tcPr>
            <w:tcW w:type="dxa" w:w="1296"/>
            <w:shd w:val="clear" w:color="auto" w:fill="EAF7EE"/>
            <w:vAlign w:val="center"/>
          </w:tcPr>
          <w:p>
            <w:pPr>
              <w:jc w:val="center"/>
            </w:pPr>
            <w:r>
              <w:rPr>
                <w:rFonts w:ascii="Calibri" w:hAnsi="Calibri"/>
                <w:b w:val="0"/>
                <w:i w:val="0"/>
                <w:color w:val="2E2E2E"/>
                <w:sz w:val="20"/>
              </w:rPr>
              <w:t>+17%</w:t>
            </w:r>
          </w:p>
        </w:tc>
        <w:tc>
          <w:tcPr>
            <w:tcW w:type="dxa" w:w="2016"/>
            <w:shd w:val="clear" w:color="auto" w:fill="EAF7EE"/>
            <w:vAlign w:val="center"/>
          </w:tcPr>
          <w:p>
            <w:pPr>
              <w:jc w:val="center"/>
            </w:pPr>
            <w:r>
              <w:rPr>
                <w:rFonts w:ascii="Calibri" w:hAnsi="Calibri"/>
                <w:b w:val="0"/>
                <w:i w:val="0"/>
                <w:color w:val="2E2E2E"/>
                <w:sz w:val="20"/>
              </w:rPr>
              <w:t>$4.8B</w:t>
            </w:r>
          </w:p>
        </w:tc>
        <w:tc>
          <w:tcPr>
            <w:tcW w:type="dxa" w:w="1728"/>
            <w:shd w:val="clear" w:color="auto" w:fill="EAF7EE"/>
            <w:vAlign w:val="center"/>
          </w:tcPr>
          <w:p>
            <w:pPr>
              <w:jc w:val="center"/>
            </w:pPr>
            <w:r>
              <w:rPr>
                <w:rFonts w:ascii="Calibri" w:hAnsi="Calibri"/>
                <w:b w:val="0"/>
                <w:i w:val="0"/>
                <w:color w:val="2E2E2E"/>
                <w:sz w:val="20"/>
              </w:rPr>
              <w:t>$90M</w:t>
            </w:r>
          </w:p>
        </w:tc>
        <w:tc>
          <w:tcPr>
            <w:tcW w:type="dxa" w:w="2592"/>
            <w:shd w:val="clear" w:color="auto" w:fill="EAF7EE"/>
            <w:vAlign w:val="center"/>
          </w:tcPr>
          <w:p>
            <w:pPr>
              <w:jc w:val="center"/>
            </w:pPr>
            <w:r>
              <w:rPr>
                <w:rFonts w:ascii="Calibri" w:hAnsi="Calibri"/>
                <w:b w:val="0"/>
                <w:i w:val="0"/>
                <w:color w:val="2E2E2E"/>
                <w:sz w:val="20"/>
              </w:rPr>
              <w:t>41.5M</w:t>
            </w:r>
          </w:p>
        </w:tc>
      </w:tr>
      <w:tr>
        <w:tc>
          <w:tcPr>
            <w:tcW w:type="dxa" w:w="1584"/>
            <w:shd w:val="clear" w:color="auto" w:fill="FFFFFF"/>
            <w:vAlign w:val="center"/>
          </w:tcPr>
          <w:p>
            <w:r>
              <w:rPr>
                <w:rFonts w:ascii="Calibri" w:hAnsi="Calibri"/>
                <w:b/>
                <w:i w:val="0"/>
                <w:color w:val="2E2E2E"/>
                <w:sz w:val="20"/>
              </w:rPr>
              <w:t>Q4 2024</w:t>
            </w:r>
          </w:p>
        </w:tc>
        <w:tc>
          <w:tcPr>
            <w:tcW w:type="dxa" w:w="1584"/>
            <w:shd w:val="clear" w:color="auto" w:fill="FFFFFF"/>
            <w:vAlign w:val="center"/>
          </w:tcPr>
          <w:p>
            <w:pPr>
              <w:jc w:val="center"/>
            </w:pPr>
            <w:r>
              <w:rPr>
                <w:rFonts w:ascii="Calibri" w:hAnsi="Calibri"/>
                <w:b w:val="0"/>
                <w:i w:val="0"/>
                <w:color w:val="2E2E2E"/>
                <w:sz w:val="20"/>
              </w:rPr>
              <w:t>$764M</w:t>
            </w:r>
          </w:p>
        </w:tc>
        <w:tc>
          <w:tcPr>
            <w:tcW w:type="dxa" w:w="1296"/>
            <w:shd w:val="clear" w:color="auto" w:fill="FFFFFF"/>
            <w:vAlign w:val="center"/>
          </w:tcPr>
          <w:p>
            <w:pPr>
              <w:jc w:val="center"/>
            </w:pPr>
            <w:r>
              <w:rPr>
                <w:rFonts w:ascii="Calibri" w:hAnsi="Calibri"/>
                <w:b w:val="0"/>
                <w:i w:val="0"/>
                <w:color w:val="2E2E2E"/>
                <w:sz w:val="20"/>
              </w:rPr>
              <w:t>+19%</w:t>
            </w:r>
          </w:p>
        </w:tc>
        <w:tc>
          <w:tcPr>
            <w:tcW w:type="dxa" w:w="2016"/>
            <w:shd w:val="clear" w:color="auto" w:fill="FFFFFF"/>
            <w:vAlign w:val="center"/>
          </w:tcPr>
          <w:p>
            <w:pPr>
              <w:jc w:val="center"/>
            </w:pPr>
            <w:r>
              <w:rPr>
                <w:rFonts w:ascii="Calibri" w:hAnsi="Calibri"/>
                <w:b w:val="0"/>
                <w:i w:val="0"/>
                <w:color w:val="2E2E2E"/>
                <w:sz w:val="20"/>
              </w:rPr>
              <w:t>$5.0B</w:t>
            </w:r>
          </w:p>
        </w:tc>
        <w:tc>
          <w:tcPr>
            <w:tcW w:type="dxa" w:w="1728"/>
            <w:shd w:val="clear" w:color="auto" w:fill="FFFFFF"/>
            <w:vAlign w:val="center"/>
          </w:tcPr>
          <w:p>
            <w:pPr>
              <w:jc w:val="center"/>
            </w:pPr>
            <w:r>
              <w:rPr>
                <w:rFonts w:ascii="Calibri" w:hAnsi="Calibri"/>
                <w:b w:val="0"/>
                <w:i w:val="0"/>
                <w:color w:val="2E2E2E"/>
                <w:sz w:val="20"/>
              </w:rPr>
              <w:t>$91M</w:t>
            </w:r>
          </w:p>
        </w:tc>
        <w:tc>
          <w:tcPr>
            <w:tcW w:type="dxa" w:w="2592"/>
            <w:shd w:val="clear" w:color="auto" w:fill="FFFFFF"/>
            <w:vAlign w:val="center"/>
          </w:tcPr>
          <w:p>
            <w:pPr>
              <w:jc w:val="center"/>
            </w:pPr>
            <w:r>
              <w:rPr>
                <w:rFonts w:ascii="Calibri" w:hAnsi="Calibri"/>
                <w:b w:val="0"/>
                <w:i w:val="0"/>
                <w:color w:val="2E2E2E"/>
                <w:sz w:val="20"/>
              </w:rPr>
              <w:t>43.9M</w:t>
            </w:r>
          </w:p>
        </w:tc>
      </w:tr>
      <w:tr>
        <w:tc>
          <w:tcPr>
            <w:tcW w:type="dxa" w:w="1584"/>
            <w:shd w:val="clear" w:color="auto" w:fill="EAF7EE"/>
            <w:vAlign w:val="center"/>
          </w:tcPr>
          <w:p>
            <w:r>
              <w:rPr>
                <w:rFonts w:ascii="Calibri" w:hAnsi="Calibri"/>
                <w:b/>
                <w:i w:val="0"/>
                <w:color w:val="2E2E2E"/>
                <w:sz w:val="20"/>
              </w:rPr>
              <w:t>Q1 2025</w:t>
            </w:r>
          </w:p>
        </w:tc>
        <w:tc>
          <w:tcPr>
            <w:tcW w:type="dxa" w:w="1584"/>
            <w:shd w:val="clear" w:color="auto" w:fill="EAF7EE"/>
            <w:vAlign w:val="center"/>
          </w:tcPr>
          <w:p>
            <w:pPr>
              <w:jc w:val="center"/>
            </w:pPr>
            <w:r>
              <w:rPr>
                <w:rFonts w:ascii="Calibri" w:hAnsi="Calibri"/>
                <w:b w:val="0"/>
                <w:i w:val="0"/>
                <w:color w:val="2E2E2E"/>
                <w:sz w:val="20"/>
              </w:rPr>
              <w:t>$773M</w:t>
            </w:r>
          </w:p>
        </w:tc>
        <w:tc>
          <w:tcPr>
            <w:tcW w:type="dxa" w:w="1296"/>
            <w:shd w:val="clear" w:color="auto" w:fill="EAF7EE"/>
            <w:vAlign w:val="center"/>
          </w:tcPr>
          <w:p>
            <w:pPr>
              <w:jc w:val="center"/>
            </w:pPr>
            <w:r>
              <w:rPr>
                <w:rFonts w:ascii="Calibri" w:hAnsi="Calibri"/>
                <w:b w:val="0"/>
                <w:i w:val="0"/>
                <w:color w:val="2E2E2E"/>
                <w:sz w:val="20"/>
              </w:rPr>
              <w:t>+18%</w:t>
            </w:r>
          </w:p>
        </w:tc>
        <w:tc>
          <w:tcPr>
            <w:tcW w:type="dxa" w:w="2016"/>
            <w:shd w:val="clear" w:color="auto" w:fill="EAF7EE"/>
            <w:vAlign w:val="center"/>
          </w:tcPr>
          <w:p>
            <w:pPr>
              <w:jc w:val="center"/>
            </w:pPr>
            <w:r>
              <w:rPr>
                <w:rFonts w:ascii="Calibri" w:hAnsi="Calibri"/>
                <w:b w:val="0"/>
                <w:i w:val="0"/>
                <w:color w:val="2E2E2E"/>
                <w:sz w:val="20"/>
              </w:rPr>
              <w:t>$5.1B</w:t>
            </w:r>
          </w:p>
        </w:tc>
        <w:tc>
          <w:tcPr>
            <w:tcW w:type="dxa" w:w="1728"/>
            <w:shd w:val="clear" w:color="auto" w:fill="EAF7EE"/>
            <w:vAlign w:val="center"/>
          </w:tcPr>
          <w:p>
            <w:pPr>
              <w:jc w:val="center"/>
            </w:pPr>
            <w:r>
              <w:rPr>
                <w:rFonts w:ascii="Calibri" w:hAnsi="Calibri"/>
                <w:b w:val="0"/>
                <w:i w:val="0"/>
                <w:color w:val="2E2E2E"/>
                <w:sz w:val="20"/>
              </w:rPr>
              <w:t>$93M</w:t>
            </w:r>
          </w:p>
        </w:tc>
        <w:tc>
          <w:tcPr>
            <w:tcW w:type="dxa" w:w="2592"/>
            <w:shd w:val="clear" w:color="auto" w:fill="EAF7EE"/>
            <w:vAlign w:val="center"/>
          </w:tcPr>
          <w:p>
            <w:pPr>
              <w:jc w:val="center"/>
            </w:pPr>
            <w:r>
              <w:rPr>
                <w:rFonts w:ascii="Calibri" w:hAnsi="Calibri"/>
                <w:b w:val="0"/>
                <w:i w:val="0"/>
                <w:color w:val="2E2E2E"/>
                <w:sz w:val="20"/>
              </w:rPr>
              <w:t>44.9M</w:t>
            </w:r>
          </w:p>
        </w:tc>
      </w:tr>
      <w:tr>
        <w:tc>
          <w:tcPr>
            <w:tcW w:type="dxa" w:w="1584"/>
            <w:shd w:val="clear" w:color="auto" w:fill="FFFFFF"/>
            <w:vAlign w:val="center"/>
          </w:tcPr>
          <w:p>
            <w:r>
              <w:rPr>
                <w:rFonts w:ascii="Calibri" w:hAnsi="Calibri"/>
                <w:b/>
                <w:i w:val="0"/>
                <w:color w:val="2E2E2E"/>
                <w:sz w:val="20"/>
              </w:rPr>
              <w:t>Q2 2025</w:t>
            </w:r>
          </w:p>
        </w:tc>
        <w:tc>
          <w:tcPr>
            <w:tcW w:type="dxa" w:w="1584"/>
            <w:shd w:val="clear" w:color="auto" w:fill="FFFFFF"/>
            <w:vAlign w:val="center"/>
          </w:tcPr>
          <w:p>
            <w:pPr>
              <w:jc w:val="center"/>
            </w:pPr>
            <w:r>
              <w:rPr>
                <w:rFonts w:ascii="Calibri" w:hAnsi="Calibri"/>
                <w:b w:val="0"/>
                <w:i w:val="0"/>
                <w:color w:val="2E2E2E"/>
                <w:sz w:val="20"/>
              </w:rPr>
              <w:t>$821M</w:t>
            </w:r>
          </w:p>
        </w:tc>
        <w:tc>
          <w:tcPr>
            <w:tcW w:type="dxa" w:w="1296"/>
            <w:shd w:val="clear" w:color="auto" w:fill="FFFFFF"/>
            <w:vAlign w:val="center"/>
          </w:tcPr>
          <w:p>
            <w:pPr>
              <w:jc w:val="center"/>
            </w:pPr>
            <w:r>
              <w:rPr>
                <w:rFonts w:ascii="Calibri" w:hAnsi="Calibri"/>
                <w:b w:val="0"/>
                <w:i w:val="0"/>
                <w:color w:val="2E2E2E"/>
                <w:sz w:val="20"/>
              </w:rPr>
              <w:t>+24%</w:t>
            </w:r>
          </w:p>
        </w:tc>
        <w:tc>
          <w:tcPr>
            <w:tcW w:type="dxa" w:w="2016"/>
            <w:shd w:val="clear" w:color="auto" w:fill="FFFFFF"/>
            <w:vAlign w:val="center"/>
          </w:tcPr>
          <w:p>
            <w:pPr>
              <w:jc w:val="center"/>
            </w:pPr>
            <w:r>
              <w:rPr>
                <w:rFonts w:ascii="Calibri" w:hAnsi="Calibri"/>
                <w:b w:val="0"/>
                <w:i w:val="0"/>
                <w:color w:val="2E2E2E"/>
                <w:sz w:val="20"/>
              </w:rPr>
              <w:t>$5.5B</w:t>
            </w:r>
          </w:p>
        </w:tc>
        <w:tc>
          <w:tcPr>
            <w:tcW w:type="dxa" w:w="1728"/>
            <w:shd w:val="clear" w:color="auto" w:fill="FFFFFF"/>
            <w:vAlign w:val="center"/>
          </w:tcPr>
          <w:p>
            <w:pPr>
              <w:jc w:val="center"/>
            </w:pPr>
            <w:r>
              <w:rPr>
                <w:rFonts w:ascii="Calibri" w:hAnsi="Calibri"/>
                <w:b w:val="0"/>
                <w:i w:val="0"/>
                <w:color w:val="2E2E2E"/>
                <w:sz w:val="20"/>
              </w:rPr>
              <w:t>$123M</w:t>
            </w:r>
          </w:p>
        </w:tc>
        <w:tc>
          <w:tcPr>
            <w:tcW w:type="dxa" w:w="2592"/>
            <w:shd w:val="clear" w:color="auto" w:fill="FFFFFF"/>
            <w:vAlign w:val="center"/>
          </w:tcPr>
          <w:p>
            <w:pPr>
              <w:jc w:val="center"/>
            </w:pPr>
            <w:r>
              <w:rPr>
                <w:rFonts w:ascii="Calibri" w:hAnsi="Calibri"/>
                <w:b w:val="0"/>
                <w:i w:val="0"/>
                <w:color w:val="2E2E2E"/>
                <w:sz w:val="20"/>
              </w:rPr>
              <w:t>46.9M</w:t>
            </w:r>
          </w:p>
        </w:tc>
      </w:tr>
      <w:tr>
        <w:tc>
          <w:tcPr>
            <w:tcW w:type="dxa" w:w="1584"/>
            <w:shd w:val="clear" w:color="auto" w:fill="EAF7EE"/>
            <w:vAlign w:val="center"/>
          </w:tcPr>
          <w:p>
            <w:r>
              <w:rPr>
                <w:rFonts w:ascii="Calibri" w:hAnsi="Calibri"/>
                <w:b/>
                <w:i w:val="0"/>
                <w:color w:val="2E2E2E"/>
                <w:sz w:val="20"/>
              </w:rPr>
              <w:t>Q3 2025</w:t>
            </w:r>
          </w:p>
        </w:tc>
        <w:tc>
          <w:tcPr>
            <w:tcW w:type="dxa" w:w="1584"/>
            <w:shd w:val="clear" w:color="auto" w:fill="EAF7EE"/>
            <w:vAlign w:val="center"/>
          </w:tcPr>
          <w:p>
            <w:pPr>
              <w:jc w:val="center"/>
            </w:pPr>
            <w:r>
              <w:rPr>
                <w:rFonts w:ascii="Calibri" w:hAnsi="Calibri"/>
                <w:b w:val="0"/>
                <w:i w:val="0"/>
                <w:color w:val="2E2E2E"/>
                <w:sz w:val="20"/>
              </w:rPr>
              <w:t>$873M</w:t>
            </w:r>
          </w:p>
        </w:tc>
        <w:tc>
          <w:tcPr>
            <w:tcW w:type="dxa" w:w="1296"/>
            <w:shd w:val="clear" w:color="auto" w:fill="EAF7EE"/>
            <w:vAlign w:val="center"/>
          </w:tcPr>
          <w:p>
            <w:pPr>
              <w:jc w:val="center"/>
            </w:pPr>
            <w:r>
              <w:rPr>
                <w:rFonts w:ascii="Calibri" w:hAnsi="Calibri"/>
                <w:b w:val="0"/>
                <w:i w:val="0"/>
                <w:color w:val="2E2E2E"/>
                <w:sz w:val="20"/>
              </w:rPr>
              <w:t>+22%</w:t>
            </w:r>
          </w:p>
        </w:tc>
        <w:tc>
          <w:tcPr>
            <w:tcW w:type="dxa" w:w="2016"/>
            <w:shd w:val="clear" w:color="auto" w:fill="EAF7EE"/>
            <w:vAlign w:val="center"/>
          </w:tcPr>
          <w:p>
            <w:pPr>
              <w:jc w:val="center"/>
            </w:pPr>
            <w:r>
              <w:rPr>
                <w:rFonts w:ascii="Calibri" w:hAnsi="Calibri"/>
                <w:b w:val="0"/>
                <w:i w:val="0"/>
                <w:color w:val="2E2E2E"/>
                <w:sz w:val="20"/>
              </w:rPr>
              <w:t>$5.8B</w:t>
            </w:r>
          </w:p>
        </w:tc>
        <w:tc>
          <w:tcPr>
            <w:tcW w:type="dxa" w:w="1728"/>
            <w:shd w:val="clear" w:color="auto" w:fill="EAF7EE"/>
            <w:vAlign w:val="center"/>
          </w:tcPr>
          <w:p>
            <w:pPr>
              <w:jc w:val="center"/>
            </w:pPr>
            <w:r>
              <w:rPr>
                <w:rFonts w:ascii="Calibri" w:hAnsi="Calibri"/>
                <w:b w:val="0"/>
                <w:i w:val="0"/>
                <w:color w:val="2E2E2E"/>
                <w:sz w:val="20"/>
              </w:rPr>
              <w:t>$136M</w:t>
            </w:r>
          </w:p>
        </w:tc>
        <w:tc>
          <w:tcPr>
            <w:tcW w:type="dxa" w:w="2592"/>
            <w:shd w:val="clear" w:color="auto" w:fill="EAF7EE"/>
            <w:vAlign w:val="center"/>
          </w:tcPr>
          <w:p>
            <w:pPr>
              <w:jc w:val="center"/>
            </w:pPr>
            <w:r>
              <w:rPr>
                <w:rFonts w:ascii="Calibri" w:hAnsi="Calibri"/>
                <w:b w:val="0"/>
                <w:i w:val="0"/>
                <w:color w:val="2E2E2E"/>
                <w:sz w:val="20"/>
              </w:rPr>
              <w:t>48.5M</w:t>
            </w:r>
          </w:p>
        </w:tc>
      </w:tr>
      <w:tr>
        <w:tc>
          <w:tcPr>
            <w:tcW w:type="dxa" w:w="1584"/>
            <w:shd w:val="clear" w:color="auto" w:fill="FFFFFF"/>
            <w:vAlign w:val="center"/>
          </w:tcPr>
          <w:p>
            <w:r>
              <w:rPr>
                <w:rFonts w:ascii="Calibri" w:hAnsi="Calibri"/>
                <w:b/>
                <w:i w:val="0"/>
                <w:color w:val="2E2E2E"/>
                <w:sz w:val="20"/>
              </w:rPr>
              <w:t>Q4 2025</w:t>
            </w:r>
          </w:p>
        </w:tc>
        <w:tc>
          <w:tcPr>
            <w:tcW w:type="dxa" w:w="1584"/>
            <w:shd w:val="clear" w:color="auto" w:fill="FFFFFF"/>
            <w:vAlign w:val="center"/>
          </w:tcPr>
          <w:p>
            <w:pPr>
              <w:jc w:val="center"/>
            </w:pPr>
            <w:r>
              <w:rPr>
                <w:rFonts w:ascii="Calibri" w:hAnsi="Calibri"/>
                <w:b w:val="0"/>
                <w:i w:val="0"/>
                <w:color w:val="2E2E2E"/>
                <w:sz w:val="20"/>
              </w:rPr>
              <w:t>$906M</w:t>
            </w:r>
          </w:p>
        </w:tc>
        <w:tc>
          <w:tcPr>
            <w:tcW w:type="dxa" w:w="1296"/>
            <w:shd w:val="clear" w:color="auto" w:fill="FFFFFF"/>
            <w:vAlign w:val="center"/>
          </w:tcPr>
          <w:p>
            <w:pPr>
              <w:jc w:val="center"/>
            </w:pPr>
            <w:r>
              <w:rPr>
                <w:rFonts w:ascii="Calibri" w:hAnsi="Calibri"/>
                <w:b w:val="0"/>
                <w:i w:val="0"/>
                <w:color w:val="2E2E2E"/>
                <w:sz w:val="20"/>
              </w:rPr>
              <w:t>+19%</w:t>
            </w:r>
          </w:p>
        </w:tc>
        <w:tc>
          <w:tcPr>
            <w:tcW w:type="dxa" w:w="2016"/>
            <w:shd w:val="clear" w:color="auto" w:fill="FFFFFF"/>
            <w:vAlign w:val="center"/>
          </w:tcPr>
          <w:p>
            <w:pPr>
              <w:jc w:val="center"/>
            </w:pPr>
            <w:r>
              <w:rPr>
                <w:rFonts w:ascii="Calibri" w:hAnsi="Calibri"/>
                <w:b w:val="0"/>
                <w:i w:val="0"/>
                <w:color w:val="2E2E2E"/>
                <w:sz w:val="20"/>
              </w:rPr>
              <w:t>$6.1B (record)</w:t>
            </w:r>
          </w:p>
        </w:tc>
        <w:tc>
          <w:tcPr>
            <w:tcW w:type="dxa" w:w="1728"/>
            <w:shd w:val="clear" w:color="auto" w:fill="FFFFFF"/>
            <w:vAlign w:val="center"/>
          </w:tcPr>
          <w:p>
            <w:pPr>
              <w:jc w:val="center"/>
            </w:pPr>
            <w:r>
              <w:rPr>
                <w:rFonts w:ascii="Calibri" w:hAnsi="Calibri"/>
                <w:b w:val="0"/>
                <w:i w:val="0"/>
                <w:color w:val="2E2E2E"/>
                <w:sz w:val="20"/>
              </w:rPr>
              <w:t>$148M</w:t>
            </w:r>
          </w:p>
        </w:tc>
        <w:tc>
          <w:tcPr>
            <w:tcW w:type="dxa" w:w="2592"/>
            <w:shd w:val="clear" w:color="auto" w:fill="FFFFFF"/>
            <w:vAlign w:val="center"/>
          </w:tcPr>
          <w:p>
            <w:pPr>
              <w:jc w:val="center"/>
            </w:pPr>
            <w:r>
              <w:rPr>
                <w:rFonts w:ascii="Calibri" w:hAnsi="Calibri"/>
                <w:b w:val="0"/>
                <w:i w:val="0"/>
                <w:color w:val="2E2E2E"/>
                <w:sz w:val="20"/>
              </w:rPr>
              <w:t>50.5M (record)</w:t>
            </w:r>
          </w:p>
        </w:tc>
      </w:tr>
    </w:tbl>
    <w:p>
      <w:pPr>
        <w:spacing w:before="0" w:after="120"/>
      </w:pPr>
    </w:p>
    <w:p>
      <w:pPr>
        <w:spacing w:before="0" w:after="80"/>
      </w:pPr>
      <w:r>
        <w:rPr>
          <w:rFonts w:ascii="Calibri" w:hAnsi="Calibri"/>
          <w:b w:val="0"/>
          <w:i w:val="0"/>
          <w:color w:val="2E2E2E"/>
          <w:sz w:val="21"/>
        </w:rPr>
        <w:t>The company has achieved 15 consecutive quarters of adjusted EBITDA growth. Q4 2025 set records for both On-Demand GMV ($6.1B) and Monthly Transacting Users (50.5M). The crossing of the 50M MTU milestone is operationally significant as it validates sustained user growth alongside profitability improvement — a combination that was previously questioned by sceptical investors.</w:t>
      </w:r>
    </w:p>
    <w:p>
      <w:pPr>
        <w:spacing w:before="200" w:after="60"/>
      </w:pPr>
      <w:r>
        <w:rPr>
          <w:rFonts w:ascii="Calibri" w:hAnsi="Calibri"/>
          <w:b/>
          <w:i w:val="0"/>
          <w:color w:val="2E2E2E"/>
          <w:sz w:val="24"/>
        </w:rPr>
        <w:t>Key Operational Metrics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val="clear" w:color="auto" w:fill="1A7A3F"/>
            <w:vAlign w:val="center"/>
          </w:tcPr>
          <w:p>
            <w:pPr>
              <w:jc w:val="center"/>
            </w:pPr>
            <w:r>
              <w:rPr>
                <w:rFonts w:ascii="Calibri" w:hAnsi="Calibri"/>
                <w:b/>
                <w:i w:val="0"/>
                <w:color w:val="FFFFFF"/>
                <w:sz w:val="20"/>
              </w:rPr>
              <w:t>Metric</w:t>
            </w:r>
          </w:p>
        </w:tc>
        <w:tc>
          <w:tcPr>
            <w:tcW w:type="dxa" w:w="1728"/>
            <w:shd w:val="clear" w:color="auto" w:fill="1A7A3F"/>
            <w:vAlign w:val="center"/>
          </w:tcPr>
          <w:p>
            <w:pPr>
              <w:jc w:val="center"/>
            </w:pPr>
            <w:r>
              <w:rPr>
                <w:rFonts w:ascii="Calibri" w:hAnsi="Calibri"/>
                <w:b/>
                <w:i w:val="0"/>
                <w:color w:val="FFFFFF"/>
                <w:sz w:val="20"/>
              </w:rPr>
              <w:t>Q4 2023</w:t>
            </w:r>
          </w:p>
        </w:tc>
        <w:tc>
          <w:tcPr>
            <w:tcW w:type="dxa" w:w="1584"/>
            <w:shd w:val="clear" w:color="auto" w:fill="1A7A3F"/>
            <w:vAlign w:val="center"/>
          </w:tcPr>
          <w:p>
            <w:pPr>
              <w:jc w:val="center"/>
            </w:pPr>
            <w:r>
              <w:rPr>
                <w:rFonts w:ascii="Calibri" w:hAnsi="Calibri"/>
                <w:b/>
                <w:i w:val="0"/>
                <w:color w:val="FFFFFF"/>
                <w:sz w:val="20"/>
              </w:rPr>
              <w:t>FY2024</w:t>
            </w:r>
          </w:p>
        </w:tc>
        <w:tc>
          <w:tcPr>
            <w:tcW w:type="dxa" w:w="1584"/>
            <w:shd w:val="clear" w:color="auto" w:fill="1A7A3F"/>
            <w:vAlign w:val="center"/>
          </w:tcPr>
          <w:p>
            <w:pPr>
              <w:jc w:val="center"/>
            </w:pPr>
            <w:r>
              <w:rPr>
                <w:rFonts w:ascii="Calibri" w:hAnsi="Calibri"/>
                <w:b/>
                <w:i w:val="0"/>
                <w:color w:val="FFFFFF"/>
                <w:sz w:val="20"/>
              </w:rPr>
              <w:t>Q4 2024</w:t>
            </w:r>
          </w:p>
        </w:tc>
        <w:tc>
          <w:tcPr>
            <w:tcW w:type="dxa" w:w="1440"/>
            <w:shd w:val="clear" w:color="auto" w:fill="1A7A3F"/>
            <w:vAlign w:val="center"/>
          </w:tcPr>
          <w:p>
            <w:pPr>
              <w:jc w:val="center"/>
            </w:pPr>
            <w:r>
              <w:rPr>
                <w:rFonts w:ascii="Calibri" w:hAnsi="Calibri"/>
                <w:b/>
                <w:i w:val="0"/>
                <w:color w:val="FFFFFF"/>
                <w:sz w:val="20"/>
              </w:rPr>
              <w:t>Q4 2025</w:t>
            </w:r>
          </w:p>
        </w:tc>
        <w:tc>
          <w:tcPr>
            <w:tcW w:type="dxa" w:w="3600"/>
            <w:shd w:val="clear" w:color="auto" w:fill="1A7A3F"/>
            <w:vAlign w:val="center"/>
          </w:tcPr>
          <w:p>
            <w:pPr>
              <w:jc w:val="center"/>
            </w:pPr>
            <w:r>
              <w:rPr>
                <w:rFonts w:ascii="Calibri" w:hAnsi="Calibri"/>
                <w:b/>
                <w:i w:val="0"/>
                <w:color w:val="FFFFFF"/>
                <w:sz w:val="20"/>
              </w:rPr>
              <w:t>Commentary</w:t>
            </w:r>
          </w:p>
        </w:tc>
      </w:tr>
      <w:tr>
        <w:tc>
          <w:tcPr>
            <w:tcW w:type="dxa" w:w="2160"/>
            <w:shd w:val="clear" w:color="auto" w:fill="EAF7EE"/>
            <w:vAlign w:val="center"/>
          </w:tcPr>
          <w:p>
            <w:r>
              <w:rPr>
                <w:rFonts w:ascii="Calibri" w:hAnsi="Calibri"/>
                <w:b/>
                <w:i w:val="0"/>
                <w:color w:val="2E2E2E"/>
                <w:sz w:val="20"/>
              </w:rPr>
              <w:t>Group MTUs</w:t>
            </w:r>
          </w:p>
        </w:tc>
        <w:tc>
          <w:tcPr>
            <w:tcW w:type="dxa" w:w="1728"/>
            <w:shd w:val="clear" w:color="auto" w:fill="EAF7EE"/>
            <w:vAlign w:val="center"/>
          </w:tcPr>
          <w:p>
            <w:pPr>
              <w:jc w:val="center"/>
            </w:pPr>
            <w:r>
              <w:rPr>
                <w:rFonts w:ascii="Calibri" w:hAnsi="Calibri"/>
                <w:b w:val="0"/>
                <w:i w:val="0"/>
                <w:color w:val="2E2E2E"/>
                <w:sz w:val="20"/>
              </w:rPr>
              <w:t>~37.6M</w:t>
            </w:r>
          </w:p>
        </w:tc>
        <w:tc>
          <w:tcPr>
            <w:tcW w:type="dxa" w:w="1584"/>
            <w:shd w:val="clear" w:color="auto" w:fill="EAF7EE"/>
            <w:vAlign w:val="center"/>
          </w:tcPr>
          <w:p>
            <w:pPr>
              <w:jc w:val="center"/>
            </w:pPr>
            <w:r>
              <w:rPr>
                <w:rFonts w:ascii="Calibri" w:hAnsi="Calibri"/>
                <w:b w:val="0"/>
                <w:i w:val="0"/>
                <w:color w:val="2E2E2E"/>
                <w:sz w:val="20"/>
              </w:rPr>
              <w:t>—</w:t>
            </w:r>
          </w:p>
        </w:tc>
        <w:tc>
          <w:tcPr>
            <w:tcW w:type="dxa" w:w="1584"/>
            <w:shd w:val="clear" w:color="auto" w:fill="EAF7EE"/>
            <w:vAlign w:val="center"/>
          </w:tcPr>
          <w:p>
            <w:pPr>
              <w:jc w:val="center"/>
            </w:pPr>
            <w:r>
              <w:rPr>
                <w:rFonts w:ascii="Calibri" w:hAnsi="Calibri"/>
                <w:b w:val="0"/>
                <w:i w:val="0"/>
                <w:color w:val="2E2E2E"/>
                <w:sz w:val="20"/>
              </w:rPr>
              <w:t>43.9M</w:t>
            </w:r>
          </w:p>
        </w:tc>
        <w:tc>
          <w:tcPr>
            <w:tcW w:type="dxa" w:w="1440"/>
            <w:shd w:val="clear" w:color="auto" w:fill="EAF7EE"/>
            <w:vAlign w:val="center"/>
          </w:tcPr>
          <w:p>
            <w:pPr>
              <w:jc w:val="center"/>
            </w:pPr>
            <w:r>
              <w:rPr>
                <w:rFonts w:ascii="Calibri" w:hAnsi="Calibri"/>
                <w:b w:val="0"/>
                <w:i w:val="0"/>
                <w:color w:val="2E2E2E"/>
                <w:sz w:val="20"/>
              </w:rPr>
              <w:t>50.5M</w:t>
            </w:r>
          </w:p>
        </w:tc>
        <w:tc>
          <w:tcPr>
            <w:tcW w:type="dxa" w:w="3600"/>
            <w:shd w:val="clear" w:color="auto" w:fill="EAF7EE"/>
            <w:vAlign w:val="center"/>
          </w:tcPr>
          <w:p>
            <w:pPr>
              <w:jc w:val="center"/>
            </w:pPr>
            <w:r>
              <w:rPr>
                <w:rFonts w:ascii="Calibri" w:hAnsi="Calibri"/>
                <w:b w:val="0"/>
                <w:i w:val="0"/>
                <w:color w:val="2E2E2E"/>
                <w:sz w:val="20"/>
              </w:rPr>
              <w:t>17% YoY Q4; record high</w:t>
            </w:r>
          </w:p>
        </w:tc>
      </w:tr>
      <w:tr>
        <w:tc>
          <w:tcPr>
            <w:tcW w:type="dxa" w:w="2160"/>
            <w:shd w:val="clear" w:color="auto" w:fill="FFFFFF"/>
            <w:vAlign w:val="center"/>
          </w:tcPr>
          <w:p>
            <w:r>
              <w:rPr>
                <w:rFonts w:ascii="Calibri" w:hAnsi="Calibri"/>
                <w:b/>
                <w:i w:val="0"/>
                <w:color w:val="2E2E2E"/>
                <w:sz w:val="20"/>
              </w:rPr>
              <w:t>On-Demand GMV</w:t>
            </w:r>
          </w:p>
        </w:tc>
        <w:tc>
          <w:tcPr>
            <w:tcW w:type="dxa" w:w="1728"/>
            <w:shd w:val="clear" w:color="auto" w:fill="FFFFFF"/>
            <w:vAlign w:val="center"/>
          </w:tcPr>
          <w:p>
            <w:pPr>
              <w:jc w:val="center"/>
            </w:pPr>
            <w:r>
              <w:rPr>
                <w:rFonts w:ascii="Calibri" w:hAnsi="Calibri"/>
                <w:b w:val="0"/>
                <w:i w:val="0"/>
                <w:color w:val="2E2E2E"/>
                <w:sz w:val="20"/>
              </w:rPr>
              <w:t>$4.2B (Q)</w:t>
            </w:r>
          </w:p>
        </w:tc>
        <w:tc>
          <w:tcPr>
            <w:tcW w:type="dxa" w:w="1584"/>
            <w:shd w:val="clear" w:color="auto" w:fill="FFFFFF"/>
            <w:vAlign w:val="center"/>
          </w:tcPr>
          <w:p>
            <w:pPr>
              <w:jc w:val="center"/>
            </w:pPr>
            <w:r>
              <w:rPr>
                <w:rFonts w:ascii="Calibri" w:hAnsi="Calibri"/>
                <w:b w:val="0"/>
                <w:i w:val="0"/>
                <w:color w:val="2E2E2E"/>
                <w:sz w:val="20"/>
              </w:rPr>
              <w:t>$18.4B</w:t>
            </w:r>
          </w:p>
        </w:tc>
        <w:tc>
          <w:tcPr>
            <w:tcW w:type="dxa" w:w="1584"/>
            <w:shd w:val="clear" w:color="auto" w:fill="FFFFFF"/>
            <w:vAlign w:val="center"/>
          </w:tcPr>
          <w:p>
            <w:pPr>
              <w:jc w:val="center"/>
            </w:pPr>
            <w:r>
              <w:rPr>
                <w:rFonts w:ascii="Calibri" w:hAnsi="Calibri"/>
                <w:b w:val="0"/>
                <w:i w:val="0"/>
                <w:color w:val="2E2E2E"/>
                <w:sz w:val="20"/>
              </w:rPr>
              <w:t>$5.0B (Q)</w:t>
            </w:r>
          </w:p>
        </w:tc>
        <w:tc>
          <w:tcPr>
            <w:tcW w:type="dxa" w:w="1440"/>
            <w:shd w:val="clear" w:color="auto" w:fill="FFFFFF"/>
            <w:vAlign w:val="center"/>
          </w:tcPr>
          <w:p>
            <w:pPr>
              <w:jc w:val="center"/>
            </w:pPr>
            <w:r>
              <w:rPr>
                <w:rFonts w:ascii="Calibri" w:hAnsi="Calibri"/>
                <w:b w:val="0"/>
                <w:i w:val="0"/>
                <w:color w:val="2E2E2E"/>
                <w:sz w:val="20"/>
              </w:rPr>
              <w:t>$6.1B (Q)</w:t>
            </w:r>
          </w:p>
        </w:tc>
        <w:tc>
          <w:tcPr>
            <w:tcW w:type="dxa" w:w="3600"/>
            <w:shd w:val="clear" w:color="auto" w:fill="FFFFFF"/>
            <w:vAlign w:val="center"/>
          </w:tcPr>
          <w:p>
            <w:pPr>
              <w:jc w:val="center"/>
            </w:pPr>
            <w:r>
              <w:rPr>
                <w:rFonts w:ascii="Calibri" w:hAnsi="Calibri"/>
                <w:b w:val="0"/>
                <w:i w:val="0"/>
                <w:color w:val="2E2E2E"/>
                <w:sz w:val="20"/>
              </w:rPr>
              <w:t>+20% YoY Q4'24; +21% YoY Q4'25</w:t>
            </w:r>
          </w:p>
        </w:tc>
      </w:tr>
      <w:tr>
        <w:tc>
          <w:tcPr>
            <w:tcW w:type="dxa" w:w="2160"/>
            <w:shd w:val="clear" w:color="auto" w:fill="EAF7EE"/>
            <w:vAlign w:val="center"/>
          </w:tcPr>
          <w:p>
            <w:r>
              <w:rPr>
                <w:rFonts w:ascii="Calibri" w:hAnsi="Calibri"/>
                <w:b/>
                <w:i w:val="0"/>
                <w:color w:val="2E2E2E"/>
                <w:sz w:val="20"/>
              </w:rPr>
              <w:t>Deliveries GMV</w:t>
            </w:r>
          </w:p>
        </w:tc>
        <w:tc>
          <w:tcPr>
            <w:tcW w:type="dxa" w:w="1728"/>
            <w:shd w:val="clear" w:color="auto" w:fill="EAF7EE"/>
            <w:vAlign w:val="center"/>
          </w:tcPr>
          <w:p>
            <w:pPr>
              <w:jc w:val="center"/>
            </w:pPr>
            <w:r>
              <w:rPr>
                <w:rFonts w:ascii="Calibri" w:hAnsi="Calibri"/>
                <w:b w:val="0"/>
                <w:i w:val="0"/>
                <w:color w:val="2E2E2E"/>
                <w:sz w:val="20"/>
              </w:rPr>
              <w:t>$2.7B (Q)</w:t>
            </w:r>
          </w:p>
        </w:tc>
        <w:tc>
          <w:tcPr>
            <w:tcW w:type="dxa" w:w="1584"/>
            <w:shd w:val="clear" w:color="auto" w:fill="EAF7EE"/>
            <w:vAlign w:val="center"/>
          </w:tcPr>
          <w:p>
            <w:pPr>
              <w:jc w:val="center"/>
            </w:pPr>
            <w:r>
              <w:rPr>
                <w:rFonts w:ascii="Calibri" w:hAnsi="Calibri"/>
                <w:b w:val="0"/>
                <w:i w:val="0"/>
                <w:color w:val="2E2E2E"/>
                <w:sz w:val="20"/>
              </w:rPr>
              <w:t>$13.1B</w:t>
            </w:r>
          </w:p>
        </w:tc>
        <w:tc>
          <w:tcPr>
            <w:tcW w:type="dxa" w:w="1584"/>
            <w:shd w:val="clear" w:color="auto" w:fill="EAF7EE"/>
            <w:vAlign w:val="center"/>
          </w:tcPr>
          <w:p>
            <w:pPr>
              <w:jc w:val="center"/>
            </w:pPr>
            <w:r>
              <w:rPr>
                <w:rFonts w:ascii="Calibri" w:hAnsi="Calibri"/>
                <w:b w:val="0"/>
                <w:i w:val="0"/>
                <w:color w:val="2E2E2E"/>
                <w:sz w:val="20"/>
              </w:rPr>
              <w:t>$3.2B (Q)</w:t>
            </w:r>
          </w:p>
        </w:tc>
        <w:tc>
          <w:tcPr>
            <w:tcW w:type="dxa" w:w="1440"/>
            <w:shd w:val="clear" w:color="auto" w:fill="EAF7EE"/>
            <w:vAlign w:val="center"/>
          </w:tcPr>
          <w:p>
            <w:pPr>
              <w:jc w:val="center"/>
            </w:pPr>
            <w:r>
              <w:rPr>
                <w:rFonts w:ascii="Calibri" w:hAnsi="Calibri"/>
                <w:b w:val="0"/>
                <w:i w:val="0"/>
                <w:color w:val="2E2E2E"/>
                <w:sz w:val="20"/>
              </w:rPr>
              <w:t>$3.9B (Q)</w:t>
            </w:r>
          </w:p>
        </w:tc>
        <w:tc>
          <w:tcPr>
            <w:tcW w:type="dxa" w:w="3600"/>
            <w:shd w:val="clear" w:color="auto" w:fill="EAF7EE"/>
            <w:vAlign w:val="center"/>
          </w:tcPr>
          <w:p>
            <w:pPr>
              <w:jc w:val="center"/>
            </w:pPr>
            <w:r>
              <w:rPr>
                <w:rFonts w:ascii="Calibri" w:hAnsi="Calibri"/>
                <w:b w:val="0"/>
                <w:i w:val="0"/>
                <w:color w:val="2E2E2E"/>
                <w:sz w:val="20"/>
              </w:rPr>
              <w:t>All-time high MTUs &amp; txns in Q4'24</w:t>
            </w:r>
          </w:p>
        </w:tc>
      </w:tr>
      <w:tr>
        <w:tc>
          <w:tcPr>
            <w:tcW w:type="dxa" w:w="2160"/>
            <w:shd w:val="clear" w:color="auto" w:fill="FFFFFF"/>
            <w:vAlign w:val="center"/>
          </w:tcPr>
          <w:p>
            <w:r>
              <w:rPr>
                <w:rFonts w:ascii="Calibri" w:hAnsi="Calibri"/>
                <w:b/>
                <w:i w:val="0"/>
                <w:color w:val="2E2E2E"/>
                <w:sz w:val="20"/>
              </w:rPr>
              <w:t>Mobility GMV</w:t>
            </w:r>
          </w:p>
        </w:tc>
        <w:tc>
          <w:tcPr>
            <w:tcW w:type="dxa" w:w="1728"/>
            <w:shd w:val="clear" w:color="auto" w:fill="FFFFFF"/>
            <w:vAlign w:val="center"/>
          </w:tcPr>
          <w:p>
            <w:pPr>
              <w:jc w:val="center"/>
            </w:pPr>
            <w:r>
              <w:rPr>
                <w:rFonts w:ascii="Calibri" w:hAnsi="Calibri"/>
                <w:b w:val="0"/>
                <w:i w:val="0"/>
                <w:color w:val="2E2E2E"/>
                <w:sz w:val="20"/>
              </w:rPr>
              <w:t>$1.5B (Q)</w:t>
            </w:r>
          </w:p>
        </w:tc>
        <w:tc>
          <w:tcPr>
            <w:tcW w:type="dxa" w:w="1584"/>
            <w:shd w:val="clear" w:color="auto" w:fill="FFFFFF"/>
            <w:vAlign w:val="center"/>
          </w:tcPr>
          <w:p>
            <w:pPr>
              <w:jc w:val="center"/>
            </w:pPr>
            <w:r>
              <w:rPr>
                <w:rFonts w:ascii="Calibri" w:hAnsi="Calibri"/>
                <w:b w:val="0"/>
                <w:i w:val="0"/>
                <w:color w:val="2E2E2E"/>
                <w:sz w:val="20"/>
              </w:rPr>
              <w:t>$5.3B</w:t>
            </w:r>
          </w:p>
        </w:tc>
        <w:tc>
          <w:tcPr>
            <w:tcW w:type="dxa" w:w="1584"/>
            <w:shd w:val="clear" w:color="auto" w:fill="FFFFFF"/>
            <w:vAlign w:val="center"/>
          </w:tcPr>
          <w:p>
            <w:pPr>
              <w:jc w:val="center"/>
            </w:pPr>
            <w:r>
              <w:rPr>
                <w:rFonts w:ascii="Calibri" w:hAnsi="Calibri"/>
                <w:b w:val="0"/>
                <w:i w:val="0"/>
                <w:color w:val="2E2E2E"/>
                <w:sz w:val="20"/>
              </w:rPr>
              <w:t>$1.8B (Q)</w:t>
            </w:r>
          </w:p>
        </w:tc>
        <w:tc>
          <w:tcPr>
            <w:tcW w:type="dxa" w:w="1440"/>
            <w:shd w:val="clear" w:color="auto" w:fill="FFFFFF"/>
            <w:vAlign w:val="center"/>
          </w:tcPr>
          <w:p>
            <w:pPr>
              <w:jc w:val="center"/>
            </w:pPr>
            <w:r>
              <w:rPr>
                <w:rFonts w:ascii="Calibri" w:hAnsi="Calibri"/>
                <w:b w:val="0"/>
                <w:i w:val="0"/>
                <w:color w:val="2E2E2E"/>
                <w:sz w:val="20"/>
              </w:rPr>
              <w:t>$2.2B (Q)</w:t>
            </w:r>
          </w:p>
        </w:tc>
        <w:tc>
          <w:tcPr>
            <w:tcW w:type="dxa" w:w="3600"/>
            <w:shd w:val="clear" w:color="auto" w:fill="FFFFFF"/>
            <w:vAlign w:val="center"/>
          </w:tcPr>
          <w:p>
            <w:pPr>
              <w:jc w:val="center"/>
            </w:pPr>
            <w:r>
              <w:rPr>
                <w:rFonts w:ascii="Calibri" w:hAnsi="Calibri"/>
                <w:b w:val="0"/>
                <w:i w:val="0"/>
                <w:color w:val="2E2E2E"/>
                <w:sz w:val="20"/>
              </w:rPr>
              <w:t>+23% YoY Q4 2024</w:t>
            </w:r>
          </w:p>
        </w:tc>
      </w:tr>
      <w:tr>
        <w:tc>
          <w:tcPr>
            <w:tcW w:type="dxa" w:w="2160"/>
            <w:shd w:val="clear" w:color="auto" w:fill="EAF7EE"/>
            <w:vAlign w:val="center"/>
          </w:tcPr>
          <w:p>
            <w:r>
              <w:rPr>
                <w:rFonts w:ascii="Calibri" w:hAnsi="Calibri"/>
                <w:b/>
                <w:i w:val="0"/>
                <w:color w:val="2E2E2E"/>
                <w:sz w:val="20"/>
              </w:rPr>
              <w:t>Loan Portfolio</w:t>
            </w:r>
          </w:p>
        </w:tc>
        <w:tc>
          <w:tcPr>
            <w:tcW w:type="dxa" w:w="1728"/>
            <w:shd w:val="clear" w:color="auto" w:fill="EAF7EE"/>
            <w:vAlign w:val="center"/>
          </w:tcPr>
          <w:p>
            <w:pPr>
              <w:jc w:val="center"/>
            </w:pPr>
            <w:r>
              <w:rPr>
                <w:rFonts w:ascii="Calibri" w:hAnsi="Calibri"/>
                <w:b w:val="0"/>
                <w:i w:val="0"/>
                <w:color w:val="2E2E2E"/>
                <w:sz w:val="20"/>
              </w:rPr>
              <w:t>—</w:t>
            </w:r>
          </w:p>
        </w:tc>
        <w:tc>
          <w:tcPr>
            <w:tcW w:type="dxa" w:w="1584"/>
            <w:shd w:val="clear" w:color="auto" w:fill="EAF7EE"/>
            <w:vAlign w:val="center"/>
          </w:tcPr>
          <w:p>
            <w:pPr>
              <w:jc w:val="center"/>
            </w:pPr>
            <w:r>
              <w:rPr>
                <w:rFonts w:ascii="Calibri" w:hAnsi="Calibri"/>
                <w:b w:val="0"/>
                <w:i w:val="0"/>
                <w:color w:val="2E2E2E"/>
                <w:sz w:val="20"/>
              </w:rPr>
              <w:t>$536M</w:t>
            </w:r>
          </w:p>
        </w:tc>
        <w:tc>
          <w:tcPr>
            <w:tcW w:type="dxa" w:w="1584"/>
            <w:shd w:val="clear" w:color="auto" w:fill="EAF7EE"/>
            <w:vAlign w:val="center"/>
          </w:tcPr>
          <w:p>
            <w:pPr>
              <w:jc w:val="center"/>
            </w:pPr>
            <w:r>
              <w:rPr>
                <w:rFonts w:ascii="Calibri" w:hAnsi="Calibri"/>
                <w:b w:val="0"/>
                <w:i w:val="0"/>
                <w:color w:val="2E2E2E"/>
                <w:sz w:val="20"/>
              </w:rPr>
              <w:t>$536M</w:t>
            </w:r>
          </w:p>
        </w:tc>
        <w:tc>
          <w:tcPr>
            <w:tcW w:type="dxa" w:w="1440"/>
            <w:shd w:val="clear" w:color="auto" w:fill="EAF7EE"/>
            <w:vAlign w:val="center"/>
          </w:tcPr>
          <w:p>
            <w:pPr>
              <w:jc w:val="center"/>
            </w:pPr>
            <w:r>
              <w:rPr>
                <w:rFonts w:ascii="Calibri" w:hAnsi="Calibri"/>
                <w:b w:val="0"/>
                <w:i w:val="0"/>
                <w:color w:val="2E2E2E"/>
                <w:sz w:val="20"/>
              </w:rPr>
              <w:t>&gt;$1B</w:t>
            </w:r>
          </w:p>
        </w:tc>
        <w:tc>
          <w:tcPr>
            <w:tcW w:type="dxa" w:w="3600"/>
            <w:shd w:val="clear" w:color="auto" w:fill="EAF7EE"/>
            <w:vAlign w:val="center"/>
          </w:tcPr>
          <w:p>
            <w:pPr>
              <w:jc w:val="center"/>
            </w:pPr>
            <w:r>
              <w:rPr>
                <w:rFonts w:ascii="Calibri" w:hAnsi="Calibri"/>
                <w:b w:val="0"/>
                <w:i w:val="0"/>
                <w:color w:val="2E2E2E"/>
                <w:sz w:val="20"/>
              </w:rPr>
              <w:t>+64% YoY in 2024; $1B+ by end 2025</w:t>
            </w:r>
          </w:p>
        </w:tc>
      </w:tr>
      <w:tr>
        <w:tc>
          <w:tcPr>
            <w:tcW w:type="dxa" w:w="2160"/>
            <w:shd w:val="clear" w:color="auto" w:fill="FFFFFF"/>
            <w:vAlign w:val="center"/>
          </w:tcPr>
          <w:p>
            <w:r>
              <w:rPr>
                <w:rFonts w:ascii="Calibri" w:hAnsi="Calibri"/>
                <w:b/>
                <w:i w:val="0"/>
                <w:color w:val="2E2E2E"/>
                <w:sz w:val="20"/>
              </w:rPr>
              <w:t>Incentive/GMV %</w:t>
            </w:r>
          </w:p>
        </w:tc>
        <w:tc>
          <w:tcPr>
            <w:tcW w:type="dxa" w:w="1728"/>
            <w:shd w:val="clear" w:color="auto" w:fill="FFFFFF"/>
            <w:vAlign w:val="center"/>
          </w:tcPr>
          <w:p>
            <w:pPr>
              <w:jc w:val="center"/>
            </w:pPr>
            <w:r>
              <w:rPr>
                <w:rFonts w:ascii="Calibri" w:hAnsi="Calibri"/>
                <w:b w:val="0"/>
                <w:i w:val="0"/>
                <w:color w:val="2E2E2E"/>
                <w:sz w:val="20"/>
              </w:rPr>
              <w:t>9.4%</w:t>
            </w:r>
          </w:p>
        </w:tc>
        <w:tc>
          <w:tcPr>
            <w:tcW w:type="dxa" w:w="1584"/>
            <w:shd w:val="clear" w:color="auto" w:fill="FFFFFF"/>
            <w:vAlign w:val="center"/>
          </w:tcPr>
          <w:p>
            <w:pPr>
              <w:jc w:val="center"/>
            </w:pPr>
            <w:r>
              <w:rPr>
                <w:rFonts w:ascii="Calibri" w:hAnsi="Calibri"/>
                <w:b w:val="0"/>
                <w:i w:val="0"/>
                <w:color w:val="2E2E2E"/>
                <w:sz w:val="20"/>
              </w:rPr>
              <w:t>~9.5%</w:t>
            </w:r>
          </w:p>
        </w:tc>
        <w:tc>
          <w:tcPr>
            <w:tcW w:type="dxa" w:w="1584"/>
            <w:shd w:val="clear" w:color="auto" w:fill="FFFFFF"/>
            <w:vAlign w:val="center"/>
          </w:tcPr>
          <w:p>
            <w:pPr>
              <w:jc w:val="center"/>
            </w:pPr>
            <w:r>
              <w:rPr>
                <w:rFonts w:ascii="Calibri" w:hAnsi="Calibri"/>
                <w:b w:val="0"/>
                <w:i w:val="0"/>
                <w:color w:val="2E2E2E"/>
                <w:sz w:val="20"/>
              </w:rPr>
              <w:t>10.1%</w:t>
            </w:r>
          </w:p>
        </w:tc>
        <w:tc>
          <w:tcPr>
            <w:tcW w:type="dxa" w:w="1440"/>
            <w:shd w:val="clear" w:color="auto" w:fill="FFFFFF"/>
            <w:vAlign w:val="center"/>
          </w:tcPr>
          <w:p>
            <w:pPr>
              <w:jc w:val="center"/>
            </w:pPr>
            <w:r>
              <w:rPr>
                <w:rFonts w:ascii="Calibri" w:hAnsi="Calibri"/>
                <w:b w:val="0"/>
                <w:i w:val="0"/>
                <w:color w:val="2E2E2E"/>
                <w:sz w:val="20"/>
              </w:rPr>
              <w:t>~9.5%</w:t>
            </w:r>
          </w:p>
        </w:tc>
        <w:tc>
          <w:tcPr>
            <w:tcW w:type="dxa" w:w="3600"/>
            <w:shd w:val="clear" w:color="auto" w:fill="FFFFFF"/>
            <w:vAlign w:val="center"/>
          </w:tcPr>
          <w:p>
            <w:pPr>
              <w:jc w:val="center"/>
            </w:pPr>
            <w:r>
              <w:rPr>
                <w:rFonts w:ascii="Calibri" w:hAnsi="Calibri"/>
                <w:b w:val="0"/>
                <w:i w:val="0"/>
                <w:color w:val="2E2E2E"/>
                <w:sz w:val="20"/>
              </w:rPr>
              <w:t>Elevated competition in Q4 2024</w:t>
            </w:r>
          </w:p>
        </w:tc>
      </w:tr>
      <w:tr>
        <w:tc>
          <w:tcPr>
            <w:tcW w:type="dxa" w:w="2160"/>
            <w:shd w:val="clear" w:color="auto" w:fill="EAF7EE"/>
            <w:vAlign w:val="center"/>
          </w:tcPr>
          <w:p>
            <w:r>
              <w:rPr>
                <w:rFonts w:ascii="Calibri" w:hAnsi="Calibri"/>
                <w:b/>
                <w:i w:val="0"/>
                <w:color w:val="2E2E2E"/>
                <w:sz w:val="20"/>
              </w:rPr>
              <w:t>Adj. FCF</w:t>
            </w:r>
          </w:p>
        </w:tc>
        <w:tc>
          <w:tcPr>
            <w:tcW w:type="dxa" w:w="1728"/>
            <w:shd w:val="clear" w:color="auto" w:fill="EAF7EE"/>
            <w:vAlign w:val="center"/>
          </w:tcPr>
          <w:p>
            <w:pPr>
              <w:jc w:val="center"/>
            </w:pPr>
            <w:r>
              <w:rPr>
                <w:rFonts w:ascii="Calibri" w:hAnsi="Calibri"/>
                <w:b w:val="0"/>
                <w:i w:val="0"/>
                <w:color w:val="2E2E2E"/>
                <w:sz w:val="20"/>
              </w:rPr>
              <w:t>—</w:t>
            </w:r>
          </w:p>
        </w:tc>
        <w:tc>
          <w:tcPr>
            <w:tcW w:type="dxa" w:w="1584"/>
            <w:shd w:val="clear" w:color="auto" w:fill="EAF7EE"/>
            <w:vAlign w:val="center"/>
          </w:tcPr>
          <w:p>
            <w:pPr>
              <w:jc w:val="center"/>
            </w:pPr>
            <w:r>
              <w:rPr>
                <w:rFonts w:ascii="Calibri" w:hAnsi="Calibri"/>
                <w:b w:val="0"/>
                <w:i w:val="0"/>
                <w:color w:val="2E2E2E"/>
                <w:sz w:val="20"/>
              </w:rPr>
              <w:t>$136M</w:t>
            </w:r>
          </w:p>
        </w:tc>
        <w:tc>
          <w:tcPr>
            <w:tcW w:type="dxa" w:w="1584"/>
            <w:shd w:val="clear" w:color="auto" w:fill="EAF7EE"/>
            <w:vAlign w:val="center"/>
          </w:tcPr>
          <w:p>
            <w:pPr>
              <w:jc w:val="center"/>
            </w:pPr>
            <w:r>
              <w:rPr>
                <w:rFonts w:ascii="Calibri" w:hAnsi="Calibri"/>
                <w:b w:val="0"/>
                <w:i w:val="0"/>
                <w:color w:val="2E2E2E"/>
                <w:sz w:val="20"/>
              </w:rPr>
              <w:t>—</w:t>
            </w:r>
          </w:p>
        </w:tc>
        <w:tc>
          <w:tcPr>
            <w:tcW w:type="dxa" w:w="1440"/>
            <w:shd w:val="clear" w:color="auto" w:fill="EAF7EE"/>
            <w:vAlign w:val="center"/>
          </w:tcPr>
          <w:p>
            <w:pPr>
              <w:jc w:val="center"/>
            </w:pPr>
            <w:r>
              <w:rPr>
                <w:rFonts w:ascii="Calibri" w:hAnsi="Calibri"/>
                <w:b w:val="0"/>
                <w:i w:val="0"/>
                <w:color w:val="2E2E2E"/>
                <w:sz w:val="20"/>
              </w:rPr>
              <w:t>$290M</w:t>
            </w:r>
          </w:p>
        </w:tc>
        <w:tc>
          <w:tcPr>
            <w:tcW w:type="dxa" w:w="3600"/>
            <w:shd w:val="clear" w:color="auto" w:fill="EAF7EE"/>
            <w:vAlign w:val="center"/>
          </w:tcPr>
          <w:p>
            <w:pPr>
              <w:jc w:val="center"/>
            </w:pPr>
            <w:r>
              <w:rPr>
                <w:rFonts w:ascii="Calibri" w:hAnsi="Calibri"/>
                <w:b w:val="0"/>
                <w:i w:val="0"/>
                <w:color w:val="2E2E2E"/>
                <w:sz w:val="20"/>
              </w:rPr>
              <w:t>First positive FCF year in 2024</w:t>
            </w:r>
          </w:p>
        </w:tc>
      </w:tr>
    </w:tbl>
    <w:p>
      <w:pPr>
        <w:spacing w:before="0" w:after="120"/>
      </w:pPr>
    </w:p>
    <w:p>
      <w:pPr>
        <w:spacing w:before="200" w:after="60"/>
      </w:pPr>
      <w:r>
        <w:rPr>
          <w:rFonts w:ascii="Calibri" w:hAnsi="Calibri"/>
          <w:b/>
          <w:i w:val="0"/>
          <w:color w:val="2E2E2E"/>
          <w:sz w:val="24"/>
        </w:rPr>
        <w:t>Balance Sheet &amp; Cash Position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44"/>
            <w:shd w:val="clear" w:color="auto" w:fill="1A7A3F"/>
            <w:vAlign w:val="center"/>
          </w:tcPr>
          <w:p>
            <w:pPr>
              <w:jc w:val="center"/>
            </w:pPr>
            <w:r>
              <w:rPr>
                <w:rFonts w:ascii="Calibri" w:hAnsi="Calibri"/>
                <w:b/>
                <w:i w:val="0"/>
                <w:color w:val="FFFFFF"/>
                <w:sz w:val="20"/>
              </w:rPr>
              <w:t>Balance Sheet Item</w:t>
            </w:r>
          </w:p>
        </w:tc>
        <w:tc>
          <w:tcPr>
            <w:tcW w:type="dxa" w:w="2880"/>
            <w:shd w:val="clear" w:color="auto" w:fill="1A7A3F"/>
            <w:vAlign w:val="center"/>
          </w:tcPr>
          <w:p>
            <w:pPr>
              <w:jc w:val="center"/>
            </w:pPr>
            <w:r>
              <w:rPr>
                <w:rFonts w:ascii="Calibri" w:hAnsi="Calibri"/>
                <w:b/>
                <w:i w:val="0"/>
                <w:color w:val="FFFFFF"/>
                <w:sz w:val="20"/>
              </w:rPr>
              <w:t>FY2021 (post-SPAC)</w:t>
            </w:r>
          </w:p>
        </w:tc>
        <w:tc>
          <w:tcPr>
            <w:tcW w:type="dxa" w:w="2880"/>
            <w:shd w:val="clear" w:color="auto" w:fill="1A7A3F"/>
            <w:vAlign w:val="center"/>
          </w:tcPr>
          <w:p>
            <w:pPr>
              <w:jc w:val="center"/>
            </w:pPr>
            <w:r>
              <w:rPr>
                <w:rFonts w:ascii="Calibri" w:hAnsi="Calibri"/>
                <w:b/>
                <w:i w:val="0"/>
                <w:color w:val="FFFFFF"/>
                <w:sz w:val="20"/>
              </w:rPr>
              <w:t>FY2024</w:t>
            </w:r>
          </w:p>
        </w:tc>
        <w:tc>
          <w:tcPr>
            <w:tcW w:type="dxa" w:w="2592"/>
            <w:shd w:val="clear" w:color="auto" w:fill="1A7A3F"/>
            <w:vAlign w:val="center"/>
          </w:tcPr>
          <w:p>
            <w:pPr>
              <w:jc w:val="center"/>
            </w:pPr>
            <w:r>
              <w:rPr>
                <w:rFonts w:ascii="Calibri" w:hAnsi="Calibri"/>
                <w:b/>
                <w:i w:val="0"/>
                <w:color w:val="FFFFFF"/>
                <w:sz w:val="20"/>
              </w:rPr>
              <w:t>FY2025 (Dec)</w:t>
            </w:r>
          </w:p>
        </w:tc>
      </w:tr>
      <w:tr>
        <w:tc>
          <w:tcPr>
            <w:tcW w:type="dxa" w:w="3744"/>
            <w:shd w:val="clear" w:color="auto" w:fill="EAF7EE"/>
            <w:vAlign w:val="center"/>
          </w:tcPr>
          <w:p>
            <w:r>
              <w:rPr>
                <w:rFonts w:ascii="Calibri" w:hAnsi="Calibri"/>
                <w:b/>
                <w:i w:val="0"/>
                <w:color w:val="2E2E2E"/>
                <w:sz w:val="20"/>
              </w:rPr>
              <w:t>Cash &amp; Short-term Investments</w:t>
            </w:r>
          </w:p>
        </w:tc>
        <w:tc>
          <w:tcPr>
            <w:tcW w:type="dxa" w:w="2880"/>
            <w:shd w:val="clear" w:color="auto" w:fill="EAF7EE"/>
            <w:vAlign w:val="center"/>
          </w:tcPr>
          <w:p>
            <w:pPr>
              <w:jc w:val="center"/>
            </w:pPr>
            <w:r>
              <w:rPr>
                <w:rFonts w:ascii="Calibri" w:hAnsi="Calibri"/>
                <w:b w:val="0"/>
                <w:i w:val="0"/>
                <w:color w:val="2E2E2E"/>
                <w:sz w:val="20"/>
              </w:rPr>
              <w:t>~$5.5B</w:t>
            </w:r>
          </w:p>
        </w:tc>
        <w:tc>
          <w:tcPr>
            <w:tcW w:type="dxa" w:w="2880"/>
            <w:shd w:val="clear" w:color="auto" w:fill="EAF7EE"/>
            <w:vAlign w:val="center"/>
          </w:tcPr>
          <w:p>
            <w:pPr>
              <w:jc w:val="center"/>
            </w:pPr>
            <w:r>
              <w:rPr>
                <w:rFonts w:ascii="Calibri" w:hAnsi="Calibri"/>
                <w:b w:val="0"/>
                <w:i w:val="0"/>
                <w:color w:val="2E2E2E"/>
                <w:sz w:val="20"/>
              </w:rPr>
              <w:t>~$7.1B</w:t>
            </w:r>
          </w:p>
        </w:tc>
        <w:tc>
          <w:tcPr>
            <w:tcW w:type="dxa" w:w="2592"/>
            <w:shd w:val="clear" w:color="auto" w:fill="EAF7EE"/>
            <w:vAlign w:val="center"/>
          </w:tcPr>
          <w:p>
            <w:pPr>
              <w:jc w:val="center"/>
            </w:pPr>
            <w:r>
              <w:rPr>
                <w:rFonts w:ascii="Calibri" w:hAnsi="Calibri"/>
                <w:b w:val="0"/>
                <w:i w:val="0"/>
                <w:color w:val="2E2E2E"/>
                <w:sz w:val="20"/>
              </w:rPr>
              <w:t>~$7.4B (gross)</w:t>
            </w:r>
          </w:p>
        </w:tc>
      </w:tr>
      <w:tr>
        <w:tc>
          <w:tcPr>
            <w:tcW w:type="dxa" w:w="3744"/>
            <w:shd w:val="clear" w:color="auto" w:fill="FFFFFF"/>
            <w:vAlign w:val="center"/>
          </w:tcPr>
          <w:p>
            <w:r>
              <w:rPr>
                <w:rFonts w:ascii="Calibri" w:hAnsi="Calibri"/>
                <w:b/>
                <w:i w:val="0"/>
                <w:color w:val="2E2E2E"/>
                <w:sz w:val="20"/>
              </w:rPr>
              <w:t>Net Cash Liquidity</w:t>
            </w:r>
          </w:p>
        </w:tc>
        <w:tc>
          <w:tcPr>
            <w:tcW w:type="dxa" w:w="2880"/>
            <w:shd w:val="clear" w:color="auto" w:fill="FFFFFF"/>
            <w:vAlign w:val="center"/>
          </w:tcPr>
          <w:p>
            <w:pPr>
              <w:jc w:val="center"/>
            </w:pPr>
            <w:r>
              <w:rPr>
                <w:rFonts w:ascii="Calibri" w:hAnsi="Calibri"/>
                <w:b w:val="0"/>
                <w:i w:val="0"/>
                <w:color w:val="2E2E2E"/>
                <w:sz w:val="20"/>
              </w:rPr>
              <w:t>—</w:t>
            </w:r>
          </w:p>
        </w:tc>
        <w:tc>
          <w:tcPr>
            <w:tcW w:type="dxa" w:w="2880"/>
            <w:shd w:val="clear" w:color="auto" w:fill="FFFFFF"/>
            <w:vAlign w:val="center"/>
          </w:tcPr>
          <w:p>
            <w:pPr>
              <w:jc w:val="center"/>
            </w:pPr>
            <w:r>
              <w:rPr>
                <w:rFonts w:ascii="Calibri" w:hAnsi="Calibri"/>
                <w:b w:val="0"/>
                <w:i w:val="0"/>
                <w:color w:val="2E2E2E"/>
                <w:sz w:val="20"/>
              </w:rPr>
              <w:t>—</w:t>
            </w:r>
          </w:p>
        </w:tc>
        <w:tc>
          <w:tcPr>
            <w:tcW w:type="dxa" w:w="2592"/>
            <w:shd w:val="clear" w:color="auto" w:fill="FFFFFF"/>
            <w:vAlign w:val="center"/>
          </w:tcPr>
          <w:p>
            <w:pPr>
              <w:jc w:val="center"/>
            </w:pPr>
            <w:r>
              <w:rPr>
                <w:rFonts w:ascii="Calibri" w:hAnsi="Calibri"/>
                <w:b w:val="0"/>
                <w:i w:val="0"/>
                <w:color w:val="2E2E2E"/>
                <w:sz w:val="20"/>
              </w:rPr>
              <w:t>$5.4B</w:t>
            </w:r>
          </w:p>
        </w:tc>
      </w:tr>
      <w:tr>
        <w:tc>
          <w:tcPr>
            <w:tcW w:type="dxa" w:w="3744"/>
            <w:shd w:val="clear" w:color="auto" w:fill="EAF7EE"/>
            <w:vAlign w:val="center"/>
          </w:tcPr>
          <w:p>
            <w:r>
              <w:rPr>
                <w:rFonts w:ascii="Calibri" w:hAnsi="Calibri"/>
                <w:b/>
                <w:i w:val="0"/>
                <w:color w:val="2E2E2E"/>
                <w:sz w:val="20"/>
              </w:rPr>
              <w:t>Total Debt</w:t>
            </w:r>
          </w:p>
        </w:tc>
        <w:tc>
          <w:tcPr>
            <w:tcW w:type="dxa" w:w="2880"/>
            <w:shd w:val="clear" w:color="auto" w:fill="EAF7EE"/>
            <w:vAlign w:val="center"/>
          </w:tcPr>
          <w:p>
            <w:pPr>
              <w:jc w:val="center"/>
            </w:pPr>
            <w:r>
              <w:rPr>
                <w:rFonts w:ascii="Calibri" w:hAnsi="Calibri"/>
                <w:b w:val="0"/>
                <w:i w:val="0"/>
                <w:color w:val="2E2E2E"/>
                <w:sz w:val="20"/>
              </w:rPr>
              <w:t>$2.1B</w:t>
            </w:r>
          </w:p>
        </w:tc>
        <w:tc>
          <w:tcPr>
            <w:tcW w:type="dxa" w:w="2880"/>
            <w:shd w:val="clear" w:color="auto" w:fill="EAF7EE"/>
            <w:vAlign w:val="center"/>
          </w:tcPr>
          <w:p>
            <w:pPr>
              <w:jc w:val="center"/>
            </w:pPr>
            <w:r>
              <w:rPr>
                <w:rFonts w:ascii="Calibri" w:hAnsi="Calibri"/>
                <w:b w:val="0"/>
                <w:i w:val="0"/>
                <w:color w:val="2E2E2E"/>
                <w:sz w:val="20"/>
              </w:rPr>
              <w:t>$364M</w:t>
            </w:r>
          </w:p>
        </w:tc>
        <w:tc>
          <w:tcPr>
            <w:tcW w:type="dxa" w:w="2592"/>
            <w:shd w:val="clear" w:color="auto" w:fill="EAF7EE"/>
            <w:vAlign w:val="center"/>
          </w:tcPr>
          <w:p>
            <w:pPr>
              <w:jc w:val="center"/>
            </w:pPr>
            <w:r>
              <w:rPr>
                <w:rFonts w:ascii="Calibri" w:hAnsi="Calibri"/>
                <w:b w:val="0"/>
                <w:i w:val="0"/>
                <w:color w:val="2E2E2E"/>
                <w:sz w:val="20"/>
              </w:rPr>
              <w:t>~$350M</w:t>
            </w:r>
          </w:p>
        </w:tc>
      </w:tr>
      <w:tr>
        <w:tc>
          <w:tcPr>
            <w:tcW w:type="dxa" w:w="3744"/>
            <w:shd w:val="clear" w:color="auto" w:fill="FFFFFF"/>
            <w:vAlign w:val="center"/>
          </w:tcPr>
          <w:p>
            <w:r>
              <w:rPr>
                <w:rFonts w:ascii="Calibri" w:hAnsi="Calibri"/>
                <w:b/>
                <w:i w:val="0"/>
                <w:color w:val="2E2E2E"/>
                <w:sz w:val="20"/>
              </w:rPr>
              <w:t>Shareholders' Equity</w:t>
            </w:r>
          </w:p>
        </w:tc>
        <w:tc>
          <w:tcPr>
            <w:tcW w:type="dxa" w:w="2880"/>
            <w:shd w:val="clear" w:color="auto" w:fill="FFFFFF"/>
            <w:vAlign w:val="center"/>
          </w:tcPr>
          <w:p>
            <w:pPr>
              <w:jc w:val="center"/>
            </w:pPr>
            <w:r>
              <w:rPr>
                <w:rFonts w:ascii="Calibri" w:hAnsi="Calibri"/>
                <w:b w:val="0"/>
                <w:i w:val="0"/>
                <w:color w:val="2E2E2E"/>
                <w:sz w:val="20"/>
              </w:rPr>
              <w:t>—</w:t>
            </w:r>
          </w:p>
        </w:tc>
        <w:tc>
          <w:tcPr>
            <w:tcW w:type="dxa" w:w="2880"/>
            <w:shd w:val="clear" w:color="auto" w:fill="FFFFFF"/>
            <w:vAlign w:val="center"/>
          </w:tcPr>
          <w:p>
            <w:pPr>
              <w:jc w:val="center"/>
            </w:pPr>
            <w:r>
              <w:rPr>
                <w:rFonts w:ascii="Calibri" w:hAnsi="Calibri"/>
                <w:b w:val="0"/>
                <w:i w:val="0"/>
                <w:color w:val="2E2E2E"/>
                <w:sz w:val="20"/>
              </w:rPr>
              <w:t>~$6.5B</w:t>
            </w:r>
          </w:p>
        </w:tc>
        <w:tc>
          <w:tcPr>
            <w:tcW w:type="dxa" w:w="2592"/>
            <w:shd w:val="clear" w:color="auto" w:fill="FFFFFF"/>
            <w:vAlign w:val="center"/>
          </w:tcPr>
          <w:p>
            <w:pPr>
              <w:jc w:val="center"/>
            </w:pPr>
            <w:r>
              <w:rPr>
                <w:rFonts w:ascii="Calibri" w:hAnsi="Calibri"/>
                <w:b w:val="0"/>
                <w:i w:val="0"/>
                <w:color w:val="2E2E2E"/>
                <w:sz w:val="20"/>
              </w:rPr>
              <w:t>~$6.7B</w:t>
            </w:r>
          </w:p>
        </w:tc>
      </w:tr>
      <w:tr>
        <w:tc>
          <w:tcPr>
            <w:tcW w:type="dxa" w:w="3744"/>
            <w:shd w:val="clear" w:color="auto" w:fill="EAF7EE"/>
            <w:vAlign w:val="center"/>
          </w:tcPr>
          <w:p>
            <w:r>
              <w:rPr>
                <w:rFonts w:ascii="Calibri" w:hAnsi="Calibri"/>
                <w:b/>
                <w:i w:val="0"/>
                <w:color w:val="2E2E2E"/>
                <w:sz w:val="20"/>
              </w:rPr>
              <w:t>Debt-to-Equity Ratio</w:t>
            </w:r>
          </w:p>
        </w:tc>
        <w:tc>
          <w:tcPr>
            <w:tcW w:type="dxa" w:w="2880"/>
            <w:shd w:val="clear" w:color="auto" w:fill="EAF7EE"/>
            <w:vAlign w:val="center"/>
          </w:tcPr>
          <w:p>
            <w:pPr>
              <w:jc w:val="center"/>
            </w:pPr>
            <w:r>
              <w:rPr>
                <w:rFonts w:ascii="Calibri" w:hAnsi="Calibri"/>
                <w:b w:val="0"/>
                <w:i w:val="0"/>
                <w:color w:val="2E2E2E"/>
                <w:sz w:val="20"/>
              </w:rPr>
              <w:t>—</w:t>
            </w:r>
          </w:p>
        </w:tc>
        <w:tc>
          <w:tcPr>
            <w:tcW w:type="dxa" w:w="2880"/>
            <w:shd w:val="clear" w:color="auto" w:fill="EAF7EE"/>
            <w:vAlign w:val="center"/>
          </w:tcPr>
          <w:p>
            <w:pPr>
              <w:jc w:val="center"/>
            </w:pPr>
            <w:r>
              <w:rPr>
                <w:rFonts w:ascii="Calibri" w:hAnsi="Calibri"/>
                <w:b w:val="0"/>
                <w:i w:val="0"/>
                <w:color w:val="2E2E2E"/>
                <w:sz w:val="20"/>
              </w:rPr>
              <w:t>~5%</w:t>
            </w:r>
          </w:p>
        </w:tc>
        <w:tc>
          <w:tcPr>
            <w:tcW w:type="dxa" w:w="2592"/>
            <w:shd w:val="clear" w:color="auto" w:fill="EAF7EE"/>
            <w:vAlign w:val="center"/>
          </w:tcPr>
          <w:p>
            <w:pPr>
              <w:jc w:val="center"/>
            </w:pPr>
            <w:r>
              <w:rPr>
                <w:rFonts w:ascii="Calibri" w:hAnsi="Calibri"/>
                <w:b w:val="0"/>
                <w:i w:val="0"/>
                <w:color w:val="2E2E2E"/>
                <w:sz w:val="20"/>
              </w:rPr>
              <w:t>~5%</w:t>
            </w:r>
          </w:p>
        </w:tc>
      </w:tr>
      <w:tr>
        <w:tc>
          <w:tcPr>
            <w:tcW w:type="dxa" w:w="3744"/>
            <w:shd w:val="clear" w:color="auto" w:fill="FFFFFF"/>
            <w:vAlign w:val="center"/>
          </w:tcPr>
          <w:p>
            <w:r>
              <w:rPr>
                <w:rFonts w:ascii="Calibri" w:hAnsi="Calibri"/>
                <w:b/>
                <w:i w:val="0"/>
                <w:color w:val="2E2E2E"/>
                <w:sz w:val="20"/>
              </w:rPr>
              <w:t>Operating Cash Flow</w:t>
            </w:r>
          </w:p>
        </w:tc>
        <w:tc>
          <w:tcPr>
            <w:tcW w:type="dxa" w:w="2880"/>
            <w:shd w:val="clear" w:color="auto" w:fill="FFFFFF"/>
            <w:vAlign w:val="center"/>
          </w:tcPr>
          <w:p>
            <w:pPr>
              <w:jc w:val="center"/>
            </w:pPr>
            <w:r>
              <w:rPr>
                <w:rFonts w:ascii="Calibri" w:hAnsi="Calibri"/>
                <w:b w:val="0"/>
                <w:i w:val="0"/>
                <w:color w:val="2E2E2E"/>
                <w:sz w:val="20"/>
              </w:rPr>
              <w:t>—</w:t>
            </w:r>
          </w:p>
        </w:tc>
        <w:tc>
          <w:tcPr>
            <w:tcW w:type="dxa" w:w="2880"/>
            <w:shd w:val="clear" w:color="auto" w:fill="FFFFFF"/>
            <w:vAlign w:val="center"/>
          </w:tcPr>
          <w:p>
            <w:pPr>
              <w:jc w:val="center"/>
            </w:pPr>
            <w:r>
              <w:rPr>
                <w:rFonts w:ascii="Calibri" w:hAnsi="Calibri"/>
                <w:b w:val="0"/>
                <w:i w:val="0"/>
                <w:color w:val="2E2E2E"/>
                <w:sz w:val="20"/>
              </w:rPr>
              <w:t>$852M</w:t>
            </w:r>
          </w:p>
        </w:tc>
        <w:tc>
          <w:tcPr>
            <w:tcW w:type="dxa" w:w="2592"/>
            <w:shd w:val="clear" w:color="auto" w:fill="FFFFFF"/>
            <w:vAlign w:val="center"/>
          </w:tcPr>
          <w:p>
            <w:pPr>
              <w:jc w:val="center"/>
            </w:pPr>
            <w:r>
              <w:rPr>
                <w:rFonts w:ascii="Calibri" w:hAnsi="Calibri"/>
                <w:b w:val="0"/>
                <w:i w:val="0"/>
                <w:color w:val="2E2E2E"/>
                <w:sz w:val="20"/>
              </w:rPr>
              <w:t>~$1.1B+</w:t>
            </w:r>
          </w:p>
        </w:tc>
      </w:tr>
      <w:tr>
        <w:tc>
          <w:tcPr>
            <w:tcW w:type="dxa" w:w="3744"/>
            <w:shd w:val="clear" w:color="auto" w:fill="EAF7EE"/>
            <w:vAlign w:val="center"/>
          </w:tcPr>
          <w:p>
            <w:r>
              <w:rPr>
                <w:rFonts w:ascii="Calibri" w:hAnsi="Calibri"/>
                <w:b/>
                <w:i w:val="0"/>
                <w:color w:val="2E2E2E"/>
                <w:sz w:val="20"/>
              </w:rPr>
              <w:t>Adjusted Free Cash Flow</w:t>
            </w:r>
          </w:p>
        </w:tc>
        <w:tc>
          <w:tcPr>
            <w:tcW w:type="dxa" w:w="2880"/>
            <w:shd w:val="clear" w:color="auto" w:fill="EAF7EE"/>
            <w:vAlign w:val="center"/>
          </w:tcPr>
          <w:p>
            <w:pPr>
              <w:jc w:val="center"/>
            </w:pPr>
            <w:r>
              <w:rPr>
                <w:rFonts w:ascii="Calibri" w:hAnsi="Calibri"/>
                <w:b w:val="0"/>
                <w:i w:val="0"/>
                <w:color w:val="2E2E2E"/>
                <w:sz w:val="20"/>
              </w:rPr>
              <w:t>Negative</w:t>
            </w:r>
          </w:p>
        </w:tc>
        <w:tc>
          <w:tcPr>
            <w:tcW w:type="dxa" w:w="2880"/>
            <w:shd w:val="clear" w:color="auto" w:fill="EAF7EE"/>
            <w:vAlign w:val="center"/>
          </w:tcPr>
          <w:p>
            <w:pPr>
              <w:jc w:val="center"/>
            </w:pPr>
            <w:r>
              <w:rPr>
                <w:rFonts w:ascii="Calibri" w:hAnsi="Calibri"/>
                <w:b w:val="0"/>
                <w:i w:val="0"/>
                <w:color w:val="2E2E2E"/>
                <w:sz w:val="20"/>
              </w:rPr>
              <w:t>$136M</w:t>
            </w:r>
          </w:p>
        </w:tc>
        <w:tc>
          <w:tcPr>
            <w:tcW w:type="dxa" w:w="2592"/>
            <w:shd w:val="clear" w:color="auto" w:fill="EAF7EE"/>
            <w:vAlign w:val="center"/>
          </w:tcPr>
          <w:p>
            <w:pPr>
              <w:jc w:val="center"/>
            </w:pPr>
            <w:r>
              <w:rPr>
                <w:rFonts w:ascii="Calibri" w:hAnsi="Calibri"/>
                <w:b w:val="0"/>
                <w:i w:val="0"/>
                <w:color w:val="2E2E2E"/>
                <w:sz w:val="20"/>
              </w:rPr>
              <w:t>$290M</w:t>
            </w:r>
          </w:p>
        </w:tc>
      </w:tr>
    </w:tbl>
    <w:p>
      <w:pPr>
        <w:spacing w:before="0" w:after="120"/>
      </w:pPr>
    </w:p>
    <w:p>
      <w:pPr>
        <w:spacing w:before="0" w:after="80"/>
      </w:pPr>
      <w:r>
        <w:rPr>
          <w:rFonts w:ascii="Calibri" w:hAnsi="Calibri"/>
          <w:b w:val="0"/>
          <w:i w:val="0"/>
          <w:color w:val="2E2E2E"/>
          <w:sz w:val="21"/>
        </w:rPr>
        <w:t>Grab's balance sheet is a significant competitive advantage. With approximately $5.4B in net cash, the company has exceptional strategic flexibility — to fund aggressive growth in GrabFin lending, pursue M&amp;A (potentially GoTo), expand into new markets, and return capital to shareholders. The company meaningfully reduced debt from $2.1B post-SPAC to ~$350M by end of 2025, while simultaneously growing cash. This financial discipline differentiates Grab from many loss-making growth companies.</w:t>
      </w:r>
    </w:p>
    <w:p>
      <w:pPr>
        <w:spacing w:before="200" w:after="60"/>
      </w:pPr>
      <w:r>
        <w:rPr>
          <w:rFonts w:ascii="Calibri" w:hAnsi="Calibri"/>
          <w:b/>
          <w:i w:val="0"/>
          <w:color w:val="2E2E2E"/>
          <w:sz w:val="24"/>
        </w:rPr>
        <w:t>Capital Return Programme</w:t>
      </w:r>
    </w:p>
    <w:p>
      <w:pPr>
        <w:spacing w:before="0" w:after="80"/>
      </w:pPr>
      <w:r>
        <w:rPr>
          <w:rFonts w:ascii="Calibri" w:hAnsi="Calibri"/>
          <w:b w:val="0"/>
          <w:i w:val="0"/>
          <w:color w:val="2E2E2E"/>
          <w:sz w:val="21"/>
        </w:rPr>
        <w:t>In February 2024, Grab launched a $500M share buyback programme, completing the repurchase of 126M shares for $499.99M. In Q4 2025, following its first profitable full year, management authorised a new $500M share repurchase programme. Additionally, the company committed to deploying up to $400M via an accelerated share repurchase ($250M ASR) and a $150M contingent forward in 2026 — funded from its $5.4B net cash position. Management's 2028 target of 80% Adjusted FCF conversion (on a $1.5B EBITDA base = ~$1.2B FCF) sets up potential for continued buybacks or dividends.</w:t>
      </w:r>
    </w:p>
    <w:p>
      <w:r>
        <w:br w:type="page"/>
      </w:r>
    </w:p>
    <w:p>
      <w:pPr>
        <w:spacing w:before="280" w:after="80"/>
        <w:pBdr>
          <w:bottom w:val="single" w:sz="6" w:space="1" w:color="00B14F"/>
        </w:pBdr>
      </w:pPr>
      <w:r>
        <w:rPr>
          <w:rFonts w:ascii="Calibri" w:hAnsi="Calibri"/>
          <w:b/>
          <w:i w:val="0"/>
          <w:color w:val="00B14F"/>
          <w:sz w:val="30"/>
        </w:rPr>
        <w:t>PHASE 3 — MARKET OPPORTUNITY</w:t>
      </w:r>
    </w:p>
    <w:p>
      <w:pPr>
        <w:spacing w:before="200" w:after="60"/>
      </w:pPr>
      <w:r>
        <w:rPr>
          <w:rFonts w:ascii="Calibri" w:hAnsi="Calibri"/>
          <w:b/>
          <w:i w:val="0"/>
          <w:color w:val="2E2E2E"/>
          <w:sz w:val="24"/>
        </w:rPr>
        <w:t>Southeast Asia Digital Economy TAM</w:t>
      </w:r>
    </w:p>
    <w:p>
      <w:pPr>
        <w:spacing w:before="0" w:after="80"/>
      </w:pPr>
      <w:r>
        <w:rPr>
          <w:rFonts w:ascii="Calibri" w:hAnsi="Calibri"/>
          <w:b w:val="0"/>
          <w:i w:val="0"/>
          <w:color w:val="2E2E2E"/>
          <w:sz w:val="21"/>
        </w:rPr>
        <w:t>The Google, Temasek and Bain &amp; Company e-Conomy SEA 2025 report (the 10th annual edition) confirmed that Southeast Asia's digital economy surpassed $300B in GMV in 2025, with revenues forecast at $135B. This represents 7.4x GMV growth and 11.2x revenue growth since 2016. Looking ahead, the SEA digital economy is on a trajectory toward $1 trillion in GMV by 2030, underpinned by a young, mobile-first population of 680M+ people and one of the fastest-growing middle classes in the world.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A7A3F"/>
            <w:vAlign w:val="center"/>
          </w:tcPr>
          <w:p>
            <w:pPr>
              <w:jc w:val="center"/>
            </w:pPr>
            <w:r>
              <w:rPr>
                <w:rFonts w:ascii="Calibri" w:hAnsi="Calibri"/>
                <w:b/>
                <w:i w:val="0"/>
                <w:color w:val="FFFFFF"/>
                <w:sz w:val="20"/>
              </w:rPr>
              <w:t>Vertical</w:t>
            </w:r>
          </w:p>
        </w:tc>
        <w:tc>
          <w:tcPr>
            <w:tcW w:type="dxa" w:w="2304"/>
            <w:shd w:val="clear" w:color="auto" w:fill="1A7A3F"/>
            <w:vAlign w:val="center"/>
          </w:tcPr>
          <w:p>
            <w:pPr>
              <w:jc w:val="center"/>
            </w:pPr>
            <w:r>
              <w:rPr>
                <w:rFonts w:ascii="Calibri" w:hAnsi="Calibri"/>
                <w:b/>
                <w:i w:val="0"/>
                <w:color w:val="FFFFFF"/>
                <w:sz w:val="20"/>
              </w:rPr>
              <w:t>2025E GMV</w:t>
            </w:r>
          </w:p>
        </w:tc>
        <w:tc>
          <w:tcPr>
            <w:tcW w:type="dxa" w:w="2016"/>
            <w:shd w:val="clear" w:color="auto" w:fill="1A7A3F"/>
            <w:vAlign w:val="center"/>
          </w:tcPr>
          <w:p>
            <w:pPr>
              <w:jc w:val="center"/>
            </w:pPr>
            <w:r>
              <w:rPr>
                <w:rFonts w:ascii="Calibri" w:hAnsi="Calibri"/>
                <w:b/>
                <w:i w:val="0"/>
                <w:color w:val="FFFFFF"/>
                <w:sz w:val="20"/>
              </w:rPr>
              <w:t>2030E GMV</w:t>
            </w:r>
          </w:p>
        </w:tc>
        <w:tc>
          <w:tcPr>
            <w:tcW w:type="dxa" w:w="4896"/>
            <w:shd w:val="clear" w:color="auto" w:fill="1A7A3F"/>
            <w:vAlign w:val="center"/>
          </w:tcPr>
          <w:p>
            <w:pPr>
              <w:jc w:val="center"/>
            </w:pPr>
            <w:r>
              <w:rPr>
                <w:rFonts w:ascii="Calibri" w:hAnsi="Calibri"/>
                <w:b/>
                <w:i w:val="0"/>
                <w:color w:val="FFFFFF"/>
                <w:sz w:val="20"/>
              </w:rPr>
              <w:t>Key Drivers</w:t>
            </w:r>
          </w:p>
        </w:tc>
      </w:tr>
      <w:tr>
        <w:tc>
          <w:tcPr>
            <w:tcW w:type="dxa" w:w="2880"/>
            <w:shd w:val="clear" w:color="auto" w:fill="EAF7EE"/>
            <w:vAlign w:val="center"/>
          </w:tcPr>
          <w:p>
            <w:r>
              <w:rPr>
                <w:rFonts w:ascii="Calibri" w:hAnsi="Calibri"/>
                <w:b/>
                <w:i w:val="0"/>
                <w:color w:val="2E2E2E"/>
                <w:sz w:val="20"/>
              </w:rPr>
              <w:t>e-Commerce</w:t>
            </w:r>
          </w:p>
        </w:tc>
        <w:tc>
          <w:tcPr>
            <w:tcW w:type="dxa" w:w="2304"/>
            <w:shd w:val="clear" w:color="auto" w:fill="EAF7EE"/>
            <w:vAlign w:val="center"/>
          </w:tcPr>
          <w:p>
            <w:pPr>
              <w:jc w:val="center"/>
            </w:pPr>
            <w:r>
              <w:rPr>
                <w:rFonts w:ascii="Calibri" w:hAnsi="Calibri"/>
                <w:b w:val="0"/>
                <w:i w:val="0"/>
                <w:color w:val="2E2E2E"/>
                <w:sz w:val="20"/>
              </w:rPr>
              <w:t>~$150B</w:t>
            </w:r>
          </w:p>
        </w:tc>
        <w:tc>
          <w:tcPr>
            <w:tcW w:type="dxa" w:w="2016"/>
            <w:shd w:val="clear" w:color="auto" w:fill="EAF7EE"/>
            <w:vAlign w:val="center"/>
          </w:tcPr>
          <w:p>
            <w:pPr>
              <w:jc w:val="center"/>
            </w:pPr>
            <w:r>
              <w:rPr>
                <w:rFonts w:ascii="Calibri" w:hAnsi="Calibri"/>
                <w:b w:val="0"/>
                <w:i w:val="0"/>
                <w:color w:val="2E2E2E"/>
                <w:sz w:val="20"/>
              </w:rPr>
              <w:t>~$400B</w:t>
            </w:r>
          </w:p>
        </w:tc>
        <w:tc>
          <w:tcPr>
            <w:tcW w:type="dxa" w:w="4896"/>
            <w:shd w:val="clear" w:color="auto" w:fill="EAF7EE"/>
            <w:vAlign w:val="center"/>
          </w:tcPr>
          <w:p>
            <w:pPr>
              <w:jc w:val="center"/>
            </w:pPr>
            <w:r>
              <w:rPr>
                <w:rFonts w:ascii="Calibri" w:hAnsi="Calibri"/>
                <w:b w:val="0"/>
                <w:i w:val="0"/>
                <w:color w:val="2E2E2E"/>
                <w:sz w:val="20"/>
              </w:rPr>
              <w:t>Rising middle class, logistics infra</w:t>
            </w:r>
          </w:p>
        </w:tc>
      </w:tr>
      <w:tr>
        <w:tc>
          <w:tcPr>
            <w:tcW w:type="dxa" w:w="2880"/>
            <w:shd w:val="clear" w:color="auto" w:fill="FFFFFF"/>
            <w:vAlign w:val="center"/>
          </w:tcPr>
          <w:p>
            <w:r>
              <w:rPr>
                <w:rFonts w:ascii="Calibri" w:hAnsi="Calibri"/>
                <w:b/>
                <w:i w:val="0"/>
                <w:color w:val="2E2E2E"/>
                <w:sz w:val="20"/>
              </w:rPr>
              <w:t>Ride-Hailing &amp; Mobility</w:t>
            </w:r>
          </w:p>
        </w:tc>
        <w:tc>
          <w:tcPr>
            <w:tcW w:type="dxa" w:w="2304"/>
            <w:shd w:val="clear" w:color="auto" w:fill="FFFFFF"/>
            <w:vAlign w:val="center"/>
          </w:tcPr>
          <w:p>
            <w:pPr>
              <w:jc w:val="center"/>
            </w:pPr>
            <w:r>
              <w:rPr>
                <w:rFonts w:ascii="Calibri" w:hAnsi="Calibri"/>
                <w:b w:val="0"/>
                <w:i w:val="0"/>
                <w:color w:val="2E2E2E"/>
                <w:sz w:val="20"/>
              </w:rPr>
              <w:t>~$20B</w:t>
            </w:r>
          </w:p>
        </w:tc>
        <w:tc>
          <w:tcPr>
            <w:tcW w:type="dxa" w:w="2016"/>
            <w:shd w:val="clear" w:color="auto" w:fill="FFFFFF"/>
            <w:vAlign w:val="center"/>
          </w:tcPr>
          <w:p>
            <w:pPr>
              <w:jc w:val="center"/>
            </w:pPr>
            <w:r>
              <w:rPr>
                <w:rFonts w:ascii="Calibri" w:hAnsi="Calibri"/>
                <w:b w:val="0"/>
                <w:i w:val="0"/>
                <w:color w:val="2E2E2E"/>
                <w:sz w:val="20"/>
              </w:rPr>
              <w:t>~$45B</w:t>
            </w:r>
          </w:p>
        </w:tc>
        <w:tc>
          <w:tcPr>
            <w:tcW w:type="dxa" w:w="4896"/>
            <w:shd w:val="clear" w:color="auto" w:fill="FFFFFF"/>
            <w:vAlign w:val="center"/>
          </w:tcPr>
          <w:p>
            <w:pPr>
              <w:jc w:val="center"/>
            </w:pPr>
            <w:r>
              <w:rPr>
                <w:rFonts w:ascii="Calibri" w:hAnsi="Calibri"/>
                <w:b w:val="0"/>
                <w:i w:val="0"/>
                <w:color w:val="2E2E2E"/>
                <w:sz w:val="20"/>
              </w:rPr>
              <w:t>Urbanisation, car ownership shifts</w:t>
            </w:r>
          </w:p>
        </w:tc>
      </w:tr>
      <w:tr>
        <w:tc>
          <w:tcPr>
            <w:tcW w:type="dxa" w:w="2880"/>
            <w:shd w:val="clear" w:color="auto" w:fill="EAF7EE"/>
            <w:vAlign w:val="center"/>
          </w:tcPr>
          <w:p>
            <w:r>
              <w:rPr>
                <w:rFonts w:ascii="Calibri" w:hAnsi="Calibri"/>
                <w:b/>
                <w:i w:val="0"/>
                <w:color w:val="2E2E2E"/>
                <w:sz w:val="20"/>
              </w:rPr>
              <w:t>Food Delivery</w:t>
            </w:r>
          </w:p>
        </w:tc>
        <w:tc>
          <w:tcPr>
            <w:tcW w:type="dxa" w:w="2304"/>
            <w:shd w:val="clear" w:color="auto" w:fill="EAF7EE"/>
            <w:vAlign w:val="center"/>
          </w:tcPr>
          <w:p>
            <w:pPr>
              <w:jc w:val="center"/>
            </w:pPr>
            <w:r>
              <w:rPr>
                <w:rFonts w:ascii="Calibri" w:hAnsi="Calibri"/>
                <w:b w:val="0"/>
                <w:i w:val="0"/>
                <w:color w:val="2E2E2E"/>
                <w:sz w:val="20"/>
              </w:rPr>
              <w:t>~$24B</w:t>
            </w:r>
          </w:p>
        </w:tc>
        <w:tc>
          <w:tcPr>
            <w:tcW w:type="dxa" w:w="2016"/>
            <w:shd w:val="clear" w:color="auto" w:fill="EAF7EE"/>
            <w:vAlign w:val="center"/>
          </w:tcPr>
          <w:p>
            <w:pPr>
              <w:jc w:val="center"/>
            </w:pPr>
            <w:r>
              <w:rPr>
                <w:rFonts w:ascii="Calibri" w:hAnsi="Calibri"/>
                <w:b w:val="0"/>
                <w:i w:val="0"/>
                <w:color w:val="2E2E2E"/>
                <w:sz w:val="20"/>
              </w:rPr>
              <w:t>~$55B</w:t>
            </w:r>
          </w:p>
        </w:tc>
        <w:tc>
          <w:tcPr>
            <w:tcW w:type="dxa" w:w="4896"/>
            <w:shd w:val="clear" w:color="auto" w:fill="EAF7EE"/>
            <w:vAlign w:val="center"/>
          </w:tcPr>
          <w:p>
            <w:pPr>
              <w:jc w:val="center"/>
            </w:pPr>
            <w:r>
              <w:rPr>
                <w:rFonts w:ascii="Calibri" w:hAnsi="Calibri"/>
                <w:b w:val="0"/>
                <w:i w:val="0"/>
                <w:color w:val="2E2E2E"/>
                <w:sz w:val="20"/>
              </w:rPr>
              <w:t>Dual-income households, convenience</w:t>
            </w:r>
          </w:p>
        </w:tc>
      </w:tr>
      <w:tr>
        <w:tc>
          <w:tcPr>
            <w:tcW w:type="dxa" w:w="2880"/>
            <w:shd w:val="clear" w:color="auto" w:fill="FFFFFF"/>
            <w:vAlign w:val="center"/>
          </w:tcPr>
          <w:p>
            <w:r>
              <w:rPr>
                <w:rFonts w:ascii="Calibri" w:hAnsi="Calibri"/>
                <w:b/>
                <w:i w:val="0"/>
                <w:color w:val="2E2E2E"/>
                <w:sz w:val="20"/>
              </w:rPr>
              <w:t>Digital Financial Services</w:t>
            </w:r>
          </w:p>
        </w:tc>
        <w:tc>
          <w:tcPr>
            <w:tcW w:type="dxa" w:w="2304"/>
            <w:shd w:val="clear" w:color="auto" w:fill="FFFFFF"/>
            <w:vAlign w:val="center"/>
          </w:tcPr>
          <w:p>
            <w:pPr>
              <w:jc w:val="center"/>
            </w:pPr>
            <w:r>
              <w:rPr>
                <w:rFonts w:ascii="Calibri" w:hAnsi="Calibri"/>
                <w:b w:val="0"/>
                <w:i w:val="0"/>
                <w:color w:val="2E2E2E"/>
                <w:sz w:val="20"/>
              </w:rPr>
              <w:t>~$30B revenue</w:t>
            </w:r>
          </w:p>
        </w:tc>
        <w:tc>
          <w:tcPr>
            <w:tcW w:type="dxa" w:w="2016"/>
            <w:shd w:val="clear" w:color="auto" w:fill="FFFFFF"/>
            <w:vAlign w:val="center"/>
          </w:tcPr>
          <w:p>
            <w:pPr>
              <w:jc w:val="center"/>
            </w:pPr>
            <w:r>
              <w:rPr>
                <w:rFonts w:ascii="Calibri" w:hAnsi="Calibri"/>
                <w:b w:val="0"/>
                <w:i w:val="0"/>
                <w:color w:val="2E2E2E"/>
                <w:sz w:val="20"/>
              </w:rPr>
              <w:t>~$120B revenue</w:t>
            </w:r>
          </w:p>
        </w:tc>
        <w:tc>
          <w:tcPr>
            <w:tcW w:type="dxa" w:w="4896"/>
            <w:shd w:val="clear" w:color="auto" w:fill="FFFFFF"/>
            <w:vAlign w:val="center"/>
          </w:tcPr>
          <w:p>
            <w:pPr>
              <w:jc w:val="center"/>
            </w:pPr>
            <w:r>
              <w:rPr>
                <w:rFonts w:ascii="Calibri" w:hAnsi="Calibri"/>
                <w:b w:val="0"/>
                <w:i w:val="0"/>
                <w:color w:val="2E2E2E"/>
                <w:sz w:val="20"/>
              </w:rPr>
              <w:t>Underbanked 400M+ population</w:t>
            </w:r>
          </w:p>
        </w:tc>
      </w:tr>
      <w:tr>
        <w:tc>
          <w:tcPr>
            <w:tcW w:type="dxa" w:w="2880"/>
            <w:shd w:val="clear" w:color="auto" w:fill="EAF7EE"/>
            <w:vAlign w:val="center"/>
          </w:tcPr>
          <w:p>
            <w:r>
              <w:rPr>
                <w:rFonts w:ascii="Calibri" w:hAnsi="Calibri"/>
                <w:b/>
                <w:i w:val="0"/>
                <w:color w:val="2E2E2E"/>
                <w:sz w:val="20"/>
              </w:rPr>
              <w:t>Digital Advertising</w:t>
            </w:r>
          </w:p>
        </w:tc>
        <w:tc>
          <w:tcPr>
            <w:tcW w:type="dxa" w:w="2304"/>
            <w:shd w:val="clear" w:color="auto" w:fill="EAF7EE"/>
            <w:vAlign w:val="center"/>
          </w:tcPr>
          <w:p>
            <w:pPr>
              <w:jc w:val="center"/>
            </w:pPr>
            <w:r>
              <w:rPr>
                <w:rFonts w:ascii="Calibri" w:hAnsi="Calibri"/>
                <w:b w:val="0"/>
                <w:i w:val="0"/>
                <w:color w:val="2E2E2E"/>
                <w:sz w:val="20"/>
              </w:rPr>
              <w:t>~$11B</w:t>
            </w:r>
          </w:p>
        </w:tc>
        <w:tc>
          <w:tcPr>
            <w:tcW w:type="dxa" w:w="2016"/>
            <w:shd w:val="clear" w:color="auto" w:fill="EAF7EE"/>
            <w:vAlign w:val="center"/>
          </w:tcPr>
          <w:p>
            <w:pPr>
              <w:jc w:val="center"/>
            </w:pPr>
            <w:r>
              <w:rPr>
                <w:rFonts w:ascii="Calibri" w:hAnsi="Calibri"/>
                <w:b w:val="0"/>
                <w:i w:val="0"/>
                <w:color w:val="2E2E2E"/>
                <w:sz w:val="20"/>
              </w:rPr>
              <w:t>~$25B</w:t>
            </w:r>
          </w:p>
        </w:tc>
        <w:tc>
          <w:tcPr>
            <w:tcW w:type="dxa" w:w="4896"/>
            <w:shd w:val="clear" w:color="auto" w:fill="EAF7EE"/>
            <w:vAlign w:val="center"/>
          </w:tcPr>
          <w:p>
            <w:pPr>
              <w:jc w:val="center"/>
            </w:pPr>
            <w:r>
              <w:rPr>
                <w:rFonts w:ascii="Calibri" w:hAnsi="Calibri"/>
                <w:b w:val="0"/>
                <w:i w:val="0"/>
                <w:color w:val="2E2E2E"/>
                <w:sz w:val="20"/>
              </w:rPr>
              <w:t>Shifting from traditional media</w:t>
            </w:r>
          </w:p>
        </w:tc>
      </w:tr>
      <w:tr>
        <w:tc>
          <w:tcPr>
            <w:tcW w:type="dxa" w:w="2880"/>
            <w:shd w:val="clear" w:color="auto" w:fill="FFFFFF"/>
            <w:vAlign w:val="center"/>
          </w:tcPr>
          <w:p>
            <w:r>
              <w:rPr>
                <w:rFonts w:ascii="Calibri" w:hAnsi="Calibri"/>
                <w:b/>
                <w:i w:val="0"/>
                <w:color w:val="2E2E2E"/>
                <w:sz w:val="20"/>
              </w:rPr>
              <w:t>Total SEA Digital Economy</w:t>
            </w:r>
          </w:p>
        </w:tc>
        <w:tc>
          <w:tcPr>
            <w:tcW w:type="dxa" w:w="2304"/>
            <w:shd w:val="clear" w:color="auto" w:fill="FFFFFF"/>
            <w:vAlign w:val="center"/>
          </w:tcPr>
          <w:p>
            <w:pPr>
              <w:jc w:val="center"/>
            </w:pPr>
            <w:r>
              <w:rPr>
                <w:rFonts w:ascii="Calibri" w:hAnsi="Calibri"/>
                <w:b w:val="0"/>
                <w:i w:val="0"/>
                <w:color w:val="2E2E2E"/>
                <w:sz w:val="20"/>
              </w:rPr>
              <w:t>&gt;$300B GMV</w:t>
            </w:r>
          </w:p>
        </w:tc>
        <w:tc>
          <w:tcPr>
            <w:tcW w:type="dxa" w:w="2016"/>
            <w:shd w:val="clear" w:color="auto" w:fill="FFFFFF"/>
            <w:vAlign w:val="center"/>
          </w:tcPr>
          <w:p>
            <w:pPr>
              <w:jc w:val="center"/>
            </w:pPr>
            <w:r>
              <w:rPr>
                <w:rFonts w:ascii="Calibri" w:hAnsi="Calibri"/>
                <w:b w:val="0"/>
                <w:i w:val="0"/>
                <w:color w:val="2E2E2E"/>
                <w:sz w:val="20"/>
              </w:rPr>
              <w:t>$600B–1T GMV</w:t>
            </w:r>
          </w:p>
        </w:tc>
        <w:tc>
          <w:tcPr>
            <w:tcW w:type="dxa" w:w="4896"/>
            <w:shd w:val="clear" w:color="auto" w:fill="FFFFFF"/>
            <w:vAlign w:val="center"/>
          </w:tcPr>
          <w:p>
            <w:pPr>
              <w:jc w:val="center"/>
            </w:pPr>
            <w:r>
              <w:rPr>
                <w:rFonts w:ascii="Calibri" w:hAnsi="Calibri"/>
                <w:b w:val="0"/>
                <w:i w:val="0"/>
                <w:color w:val="2E2E2E"/>
                <w:sz w:val="20"/>
              </w:rPr>
              <w:t>Structural digitalisation</w:t>
            </w:r>
          </w:p>
        </w:tc>
      </w:tr>
    </w:tbl>
    <w:p>
      <w:pPr>
        <w:spacing w:before="0" w:after="120"/>
      </w:pPr>
    </w:p>
    <w:p>
      <w:pPr>
        <w:spacing w:before="200" w:after="60"/>
      </w:pPr>
      <w:r>
        <w:rPr>
          <w:rFonts w:ascii="Calibri" w:hAnsi="Calibri"/>
          <w:b/>
          <w:i w:val="0"/>
          <w:color w:val="2E2E2E"/>
          <w:sz w:val="24"/>
        </w:rPr>
        <w:t>Penetration Rates vs. Developed Markets</w:t>
      </w:r>
    </w:p>
    <w:p>
      <w:pPr>
        <w:spacing w:before="0" w:after="80"/>
      </w:pPr>
      <w:r>
        <w:rPr>
          <w:rFonts w:ascii="Calibri" w:hAnsi="Calibri"/>
          <w:b w:val="0"/>
          <w:i w:val="0"/>
          <w:color w:val="2E2E2E"/>
          <w:sz w:val="21"/>
        </w:rPr>
        <w:t>The penetration opportunity in SEA remains enormous relative to developed markets. Only approximately 15–20% of SEA's 680M population regularly transacts on food delivery platforms (versus 35–45% in the US and China). Ride-hailing penetration is similarly nascent outside Singapore and KL. Most critically for long-term value creation, only 53% of SEA adults have a bank account, and credit card penetration is below 10% in many markets — creating a vast greenfield for GrabFin's lending and digital banking services to serve previously underbanked populations.</w:t>
      </w:r>
    </w:p>
    <w:p>
      <w:pPr>
        <w:spacing w:before="200" w:after="60"/>
      </w:pPr>
      <w:r>
        <w:rPr>
          <w:rFonts w:ascii="Calibri" w:hAnsi="Calibri"/>
          <w:b/>
          <w:i w:val="0"/>
          <w:color w:val="2E2E2E"/>
          <w:sz w:val="24"/>
        </w:rPr>
        <w:t>Key Growth Verticals</w:t>
      </w:r>
    </w:p>
    <w:p>
      <w:pPr>
        <w:spacing w:before="120" w:after="40"/>
      </w:pPr>
      <w:r>
        <w:rPr>
          <w:rFonts w:ascii="Calibri" w:hAnsi="Calibri"/>
          <w:b/>
          <w:i w:val="0"/>
          <w:color w:val="555555"/>
          <w:sz w:val="22"/>
        </w:rPr>
        <w:t>1. GrabFin &amp; Digital Financial Services</w:t>
      </w:r>
    </w:p>
    <w:p>
      <w:pPr>
        <w:spacing w:before="0" w:after="80"/>
      </w:pPr>
      <w:r>
        <w:rPr>
          <w:rFonts w:ascii="Calibri" w:hAnsi="Calibri"/>
          <w:b w:val="0"/>
          <w:i w:val="0"/>
          <w:color w:val="2E2E2E"/>
          <w:sz w:val="21"/>
        </w:rPr>
        <w:t>Financial services is the highest-conviction long-term growth driver. Grab's superapp ecosystem provides three structural advantages for fintech expansion: (a) rich transaction history on hundreds of millions of consumer and merchant interactions, enabling proprietary credit scoring models; (b) embedded distribution within an app already used for daily commerce; and (c) a merchant network of driver-partners and food delivery operators who are natural loan customers. The loan book growing 64% YoY to $536M in FY2024 — with a target of $1B+ by end-2025 — validates product-market fit. The two digital banks (GXS Singapore and GX Bank Malaysia) add regulated deposit-taking capabilities, creating a moat that is very difficult for non-banked competitors to replicate.</w:t>
      </w:r>
    </w:p>
    <w:p>
      <w:pPr>
        <w:spacing w:before="120" w:after="40"/>
      </w:pPr>
      <w:r>
        <w:rPr>
          <w:rFonts w:ascii="Calibri" w:hAnsi="Calibri"/>
          <w:b/>
          <w:i w:val="0"/>
          <w:color w:val="555555"/>
          <w:sz w:val="22"/>
        </w:rPr>
        <w:t>2. GrabAds (Digital Advertising)</w:t>
      </w:r>
    </w:p>
    <w:p>
      <w:pPr>
        <w:spacing w:before="0" w:after="80"/>
      </w:pPr>
      <w:r>
        <w:rPr>
          <w:rFonts w:ascii="Calibri" w:hAnsi="Calibri"/>
          <w:b w:val="0"/>
          <w:i w:val="0"/>
          <w:color w:val="2E2E2E"/>
          <w:sz w:val="21"/>
        </w:rPr>
        <w:t>GrabAds, Grab's first-party advertising platform, is an underappreciated revenue stream. With 50M+ monthly active users generating high-intent commercial signals (food orders, rides, payments), Grab possesses first-party data that rivals struggle to match. As brands shift digital budgets toward performance advertising with measurable outcomes (vs. brand awareness), GrabAds is positioned to capture spend from restaurants, FMCG brands, and financial institutions targeting SEA consumers.</w:t>
      </w:r>
    </w:p>
    <w:p>
      <w:pPr>
        <w:spacing w:before="120" w:after="40"/>
      </w:pPr>
      <w:r>
        <w:rPr>
          <w:rFonts w:ascii="Calibri" w:hAnsi="Calibri"/>
          <w:b/>
          <w:i w:val="0"/>
          <w:color w:val="555555"/>
          <w:sz w:val="22"/>
        </w:rPr>
        <w:t>3. GrabMart &amp; Grocery Delivery</w:t>
      </w:r>
    </w:p>
    <w:p>
      <w:pPr>
        <w:spacing w:before="0" w:after="80"/>
      </w:pPr>
      <w:r>
        <w:rPr>
          <w:rFonts w:ascii="Calibri" w:hAnsi="Calibri"/>
          <w:b w:val="0"/>
          <w:i w:val="0"/>
          <w:color w:val="2E2E2E"/>
          <w:sz w:val="21"/>
        </w:rPr>
        <w:t>GrabMart extends the delivery network into grocery, convenience, and pharmacy delivery — markets that were dramatically accelerated by COVID-19 and show sticky post-pandemic behaviour. Grocery delivery penetration in SEA remains well below 5% vs. 15%+ in Korea and China, providing a decade-long growth runway.</w:t>
      </w:r>
    </w:p>
    <w:p>
      <w:pPr>
        <w:spacing w:before="120" w:after="40"/>
      </w:pPr>
      <w:r>
        <w:rPr>
          <w:rFonts w:ascii="Calibri" w:hAnsi="Calibri"/>
          <w:b/>
          <w:i w:val="0"/>
          <w:color w:val="555555"/>
          <w:sz w:val="22"/>
        </w:rPr>
        <w:t>4. Enterprise &amp; B2B Services</w:t>
      </w:r>
    </w:p>
    <w:p>
      <w:pPr>
        <w:spacing w:before="0" w:after="80"/>
      </w:pPr>
      <w:r>
        <w:rPr>
          <w:rFonts w:ascii="Calibri" w:hAnsi="Calibri"/>
          <w:b w:val="0"/>
          <w:i w:val="0"/>
          <w:color w:val="2E2E2E"/>
          <w:sz w:val="21"/>
        </w:rPr>
        <w:t>Grab for Business and enterprise API services (white-label ride-hailing for corporates) represent high-margin, recurring revenue streams with low marginal cost given existing driver supply and routing infrastructure.</w:t>
      </w:r>
    </w:p>
    <w:p>
      <w:r>
        <w:br w:type="page"/>
      </w:r>
    </w:p>
    <w:p>
      <w:pPr>
        <w:spacing w:before="280" w:after="80"/>
        <w:pBdr>
          <w:bottom w:val="single" w:sz="6" w:space="1" w:color="00B14F"/>
        </w:pBdr>
      </w:pPr>
      <w:r>
        <w:rPr>
          <w:rFonts w:ascii="Calibri" w:hAnsi="Calibri"/>
          <w:b/>
          <w:i w:val="0"/>
          <w:color w:val="00B14F"/>
          <w:sz w:val="30"/>
        </w:rPr>
        <w:t>PHASE 4 — COMPETITIVE POSITION &amp; MOATS</w:t>
      </w:r>
    </w:p>
    <w:p>
      <w:pPr>
        <w:spacing w:before="200" w:after="60"/>
      </w:pPr>
      <w:r>
        <w:rPr>
          <w:rFonts w:ascii="Calibri" w:hAnsi="Calibri"/>
          <w:b/>
          <w:i w:val="0"/>
          <w:color w:val="2E2E2E"/>
          <w:sz w:val="24"/>
        </w:rPr>
        <w:t>Market Share Overview (2024–2025)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val="clear" w:color="auto" w:fill="1A7A3F"/>
            <w:vAlign w:val="center"/>
          </w:tcPr>
          <w:p>
            <w:pPr>
              <w:jc w:val="center"/>
            </w:pPr>
            <w:r>
              <w:rPr>
                <w:rFonts w:ascii="Calibri" w:hAnsi="Calibri"/>
                <w:b/>
                <w:i w:val="0"/>
                <w:color w:val="FFFFFF"/>
                <w:sz w:val="20"/>
              </w:rPr>
              <w:t>Market</w:t>
            </w:r>
          </w:p>
        </w:tc>
        <w:tc>
          <w:tcPr>
            <w:tcW w:type="dxa" w:w="1728"/>
            <w:shd w:val="clear" w:color="auto" w:fill="1A7A3F"/>
            <w:vAlign w:val="center"/>
          </w:tcPr>
          <w:p>
            <w:pPr>
              <w:jc w:val="center"/>
            </w:pPr>
            <w:r>
              <w:rPr>
                <w:rFonts w:ascii="Calibri" w:hAnsi="Calibri"/>
                <w:b/>
                <w:i w:val="0"/>
                <w:color w:val="FFFFFF"/>
                <w:sz w:val="20"/>
              </w:rPr>
              <w:t>Grab Share</w:t>
            </w:r>
          </w:p>
        </w:tc>
        <w:tc>
          <w:tcPr>
            <w:tcW w:type="dxa" w:w="2592"/>
            <w:shd w:val="clear" w:color="auto" w:fill="1A7A3F"/>
            <w:vAlign w:val="center"/>
          </w:tcPr>
          <w:p>
            <w:pPr>
              <w:jc w:val="center"/>
            </w:pPr>
            <w:r>
              <w:rPr>
                <w:rFonts w:ascii="Calibri" w:hAnsi="Calibri"/>
                <w:b/>
                <w:i w:val="0"/>
                <w:color w:val="FFFFFF"/>
                <w:sz w:val="20"/>
              </w:rPr>
              <w:t>Key Competitor</w:t>
            </w:r>
          </w:p>
        </w:tc>
        <w:tc>
          <w:tcPr>
            <w:tcW w:type="dxa" w:w="2016"/>
            <w:shd w:val="clear" w:color="auto" w:fill="1A7A3F"/>
            <w:vAlign w:val="center"/>
          </w:tcPr>
          <w:p>
            <w:pPr>
              <w:jc w:val="center"/>
            </w:pPr>
            <w:r>
              <w:rPr>
                <w:rFonts w:ascii="Calibri" w:hAnsi="Calibri"/>
                <w:b/>
                <w:i w:val="0"/>
                <w:color w:val="FFFFFF"/>
                <w:sz w:val="20"/>
              </w:rPr>
              <w:t>Competitor Share</w:t>
            </w:r>
          </w:p>
        </w:tc>
        <w:tc>
          <w:tcPr>
            <w:tcW w:type="dxa" w:w="2880"/>
            <w:shd w:val="clear" w:color="auto" w:fill="1A7A3F"/>
            <w:vAlign w:val="center"/>
          </w:tcPr>
          <w:p>
            <w:pPr>
              <w:jc w:val="center"/>
            </w:pPr>
            <w:r>
              <w:rPr>
                <w:rFonts w:ascii="Calibri" w:hAnsi="Calibri"/>
                <w:b/>
                <w:i w:val="0"/>
                <w:color w:val="FFFFFF"/>
                <w:sz w:val="20"/>
              </w:rPr>
              <w:t>Commentary</w:t>
            </w:r>
          </w:p>
        </w:tc>
      </w:tr>
      <w:tr>
        <w:tc>
          <w:tcPr>
            <w:tcW w:type="dxa" w:w="2880"/>
            <w:shd w:val="clear" w:color="auto" w:fill="EAF7EE"/>
            <w:vAlign w:val="center"/>
          </w:tcPr>
          <w:p>
            <w:r>
              <w:rPr>
                <w:rFonts w:ascii="Calibri" w:hAnsi="Calibri"/>
                <w:b/>
                <w:i w:val="0"/>
                <w:color w:val="2E2E2E"/>
                <w:sz w:val="20"/>
              </w:rPr>
              <w:t>SEA Food Delivery (overall)</w:t>
            </w:r>
          </w:p>
        </w:tc>
        <w:tc>
          <w:tcPr>
            <w:tcW w:type="dxa" w:w="1728"/>
            <w:shd w:val="clear" w:color="auto" w:fill="EAF7EE"/>
            <w:vAlign w:val="center"/>
          </w:tcPr>
          <w:p>
            <w:pPr>
              <w:jc w:val="center"/>
            </w:pPr>
            <w:r>
              <w:rPr>
                <w:rFonts w:ascii="Calibri" w:hAnsi="Calibri"/>
                <w:b w:val="0"/>
                <w:i w:val="0"/>
                <w:color w:val="2E2E2E"/>
                <w:sz w:val="20"/>
              </w:rPr>
              <w:t>~54–55%</w:t>
            </w:r>
          </w:p>
        </w:tc>
        <w:tc>
          <w:tcPr>
            <w:tcW w:type="dxa" w:w="2592"/>
            <w:shd w:val="clear" w:color="auto" w:fill="EAF7EE"/>
            <w:vAlign w:val="center"/>
          </w:tcPr>
          <w:p>
            <w:pPr>
              <w:jc w:val="center"/>
            </w:pPr>
            <w:r>
              <w:rPr>
                <w:rFonts w:ascii="Calibri" w:hAnsi="Calibri"/>
                <w:b w:val="0"/>
                <w:i w:val="0"/>
                <w:color w:val="2E2E2E"/>
                <w:sz w:val="20"/>
              </w:rPr>
              <w:t>ShopeeFood (Sea Ltd)</w:t>
            </w:r>
          </w:p>
        </w:tc>
        <w:tc>
          <w:tcPr>
            <w:tcW w:type="dxa" w:w="2016"/>
            <w:shd w:val="clear" w:color="auto" w:fill="EAF7EE"/>
            <w:vAlign w:val="center"/>
          </w:tcPr>
          <w:p>
            <w:pPr>
              <w:jc w:val="center"/>
            </w:pPr>
            <w:r>
              <w:rPr>
                <w:rFonts w:ascii="Calibri" w:hAnsi="Calibri"/>
                <w:b w:val="0"/>
                <w:i w:val="0"/>
                <w:color w:val="2E2E2E"/>
                <w:sz w:val="20"/>
              </w:rPr>
              <w:t>~14%</w:t>
            </w:r>
          </w:p>
        </w:tc>
        <w:tc>
          <w:tcPr>
            <w:tcW w:type="dxa" w:w="2880"/>
            <w:shd w:val="clear" w:color="auto" w:fill="EAF7EE"/>
            <w:vAlign w:val="center"/>
          </w:tcPr>
          <w:p>
            <w:pPr>
              <w:jc w:val="center"/>
            </w:pPr>
            <w:r>
              <w:rPr>
                <w:rFonts w:ascii="Calibri" w:hAnsi="Calibri"/>
                <w:b w:val="0"/>
                <w:i w:val="0"/>
                <w:color w:val="2E2E2E"/>
                <w:sz w:val="20"/>
              </w:rPr>
              <w:t>Grab dominant; ShopeeFood gaining</w:t>
            </w:r>
          </w:p>
        </w:tc>
      </w:tr>
      <w:tr>
        <w:tc>
          <w:tcPr>
            <w:tcW w:type="dxa" w:w="2880"/>
            <w:shd w:val="clear" w:color="auto" w:fill="FFFFFF"/>
            <w:vAlign w:val="center"/>
          </w:tcPr>
          <w:p>
            <w:r>
              <w:rPr>
                <w:rFonts w:ascii="Calibri" w:hAnsi="Calibri"/>
                <w:b/>
                <w:i w:val="0"/>
                <w:color w:val="2E2E2E"/>
                <w:sz w:val="20"/>
              </w:rPr>
              <w:t>Food Delivery — Indonesia</w:t>
            </w:r>
          </w:p>
        </w:tc>
        <w:tc>
          <w:tcPr>
            <w:tcW w:type="dxa" w:w="1728"/>
            <w:shd w:val="clear" w:color="auto" w:fill="FFFFFF"/>
            <w:vAlign w:val="center"/>
          </w:tcPr>
          <w:p>
            <w:pPr>
              <w:jc w:val="center"/>
            </w:pPr>
            <w:r>
              <w:rPr>
                <w:rFonts w:ascii="Calibri" w:hAnsi="Calibri"/>
                <w:b w:val="0"/>
                <w:i w:val="0"/>
                <w:color w:val="2E2E2E"/>
                <w:sz w:val="20"/>
              </w:rPr>
              <w:t>~50%</w:t>
            </w:r>
          </w:p>
        </w:tc>
        <w:tc>
          <w:tcPr>
            <w:tcW w:type="dxa" w:w="2592"/>
            <w:shd w:val="clear" w:color="auto" w:fill="FFFFFF"/>
            <w:vAlign w:val="center"/>
          </w:tcPr>
          <w:p>
            <w:pPr>
              <w:jc w:val="center"/>
            </w:pPr>
            <w:r>
              <w:rPr>
                <w:rFonts w:ascii="Calibri" w:hAnsi="Calibri"/>
                <w:b w:val="0"/>
                <w:i w:val="0"/>
                <w:color w:val="2E2E2E"/>
                <w:sz w:val="20"/>
              </w:rPr>
              <w:t>Gojek (GoTo)</w:t>
            </w:r>
          </w:p>
        </w:tc>
        <w:tc>
          <w:tcPr>
            <w:tcW w:type="dxa" w:w="2016"/>
            <w:shd w:val="clear" w:color="auto" w:fill="FFFFFF"/>
            <w:vAlign w:val="center"/>
          </w:tcPr>
          <w:p>
            <w:pPr>
              <w:jc w:val="center"/>
            </w:pPr>
            <w:r>
              <w:rPr>
                <w:rFonts w:ascii="Calibri" w:hAnsi="Calibri"/>
                <w:b w:val="0"/>
                <w:i w:val="0"/>
                <w:color w:val="2E2E2E"/>
                <w:sz w:val="20"/>
              </w:rPr>
              <w:t>~43%</w:t>
            </w:r>
          </w:p>
        </w:tc>
        <w:tc>
          <w:tcPr>
            <w:tcW w:type="dxa" w:w="2880"/>
            <w:shd w:val="clear" w:color="auto" w:fill="FFFFFF"/>
            <w:vAlign w:val="center"/>
          </w:tcPr>
          <w:p>
            <w:pPr>
              <w:jc w:val="center"/>
            </w:pPr>
            <w:r>
              <w:rPr>
                <w:rFonts w:ascii="Calibri" w:hAnsi="Calibri"/>
                <w:b w:val="0"/>
                <w:i w:val="0"/>
                <w:color w:val="2E2E2E"/>
                <w:sz w:val="20"/>
              </w:rPr>
              <w:t>Tightest market; GoTo home turf</w:t>
            </w:r>
          </w:p>
        </w:tc>
      </w:tr>
      <w:tr>
        <w:tc>
          <w:tcPr>
            <w:tcW w:type="dxa" w:w="2880"/>
            <w:shd w:val="clear" w:color="auto" w:fill="EAF7EE"/>
            <w:vAlign w:val="center"/>
          </w:tcPr>
          <w:p>
            <w:r>
              <w:rPr>
                <w:rFonts w:ascii="Calibri" w:hAnsi="Calibri"/>
                <w:b/>
                <w:i w:val="0"/>
                <w:color w:val="2E2E2E"/>
                <w:sz w:val="20"/>
              </w:rPr>
              <w:t>Food Delivery — Vietnam</w:t>
            </w:r>
          </w:p>
        </w:tc>
        <w:tc>
          <w:tcPr>
            <w:tcW w:type="dxa" w:w="1728"/>
            <w:shd w:val="clear" w:color="auto" w:fill="EAF7EE"/>
            <w:vAlign w:val="center"/>
          </w:tcPr>
          <w:p>
            <w:pPr>
              <w:jc w:val="center"/>
            </w:pPr>
            <w:r>
              <w:rPr>
                <w:rFonts w:ascii="Calibri" w:hAnsi="Calibri"/>
                <w:b w:val="0"/>
                <w:i w:val="0"/>
                <w:color w:val="2E2E2E"/>
                <w:sz w:val="20"/>
              </w:rPr>
              <w:t>~48%</w:t>
            </w:r>
          </w:p>
        </w:tc>
        <w:tc>
          <w:tcPr>
            <w:tcW w:type="dxa" w:w="2592"/>
            <w:shd w:val="clear" w:color="auto" w:fill="EAF7EE"/>
            <w:vAlign w:val="center"/>
          </w:tcPr>
          <w:p>
            <w:pPr>
              <w:jc w:val="center"/>
            </w:pPr>
            <w:r>
              <w:rPr>
                <w:rFonts w:ascii="Calibri" w:hAnsi="Calibri"/>
                <w:b w:val="0"/>
                <w:i w:val="0"/>
                <w:color w:val="2E2E2E"/>
                <w:sz w:val="20"/>
              </w:rPr>
              <w:t>ShopeeFood</w:t>
            </w:r>
          </w:p>
        </w:tc>
        <w:tc>
          <w:tcPr>
            <w:tcW w:type="dxa" w:w="2016"/>
            <w:shd w:val="clear" w:color="auto" w:fill="EAF7EE"/>
            <w:vAlign w:val="center"/>
          </w:tcPr>
          <w:p>
            <w:pPr>
              <w:jc w:val="center"/>
            </w:pPr>
            <w:r>
              <w:rPr>
                <w:rFonts w:ascii="Calibri" w:hAnsi="Calibri"/>
                <w:b w:val="0"/>
                <w:i w:val="0"/>
                <w:color w:val="2E2E2E"/>
                <w:sz w:val="20"/>
              </w:rPr>
              <w:t>~47%</w:t>
            </w:r>
          </w:p>
        </w:tc>
        <w:tc>
          <w:tcPr>
            <w:tcW w:type="dxa" w:w="2880"/>
            <w:shd w:val="clear" w:color="auto" w:fill="EAF7EE"/>
            <w:vAlign w:val="center"/>
          </w:tcPr>
          <w:p>
            <w:pPr>
              <w:jc w:val="center"/>
            </w:pPr>
            <w:r>
              <w:rPr>
                <w:rFonts w:ascii="Calibri" w:hAnsi="Calibri"/>
                <w:b w:val="0"/>
                <w:i w:val="0"/>
                <w:color w:val="2E2E2E"/>
                <w:sz w:val="20"/>
              </w:rPr>
              <w:t>Near parity; fierce competition</w:t>
            </w:r>
          </w:p>
        </w:tc>
      </w:tr>
      <w:tr>
        <w:tc>
          <w:tcPr>
            <w:tcW w:type="dxa" w:w="2880"/>
            <w:shd w:val="clear" w:color="auto" w:fill="FFFFFF"/>
            <w:vAlign w:val="center"/>
          </w:tcPr>
          <w:p>
            <w:r>
              <w:rPr>
                <w:rFonts w:ascii="Calibri" w:hAnsi="Calibri"/>
                <w:b/>
                <w:i w:val="0"/>
                <w:color w:val="2E2E2E"/>
                <w:sz w:val="20"/>
              </w:rPr>
              <w:t>Food Delivery — Singapore</w:t>
            </w:r>
          </w:p>
        </w:tc>
        <w:tc>
          <w:tcPr>
            <w:tcW w:type="dxa" w:w="1728"/>
            <w:shd w:val="clear" w:color="auto" w:fill="FFFFFF"/>
            <w:vAlign w:val="center"/>
          </w:tcPr>
          <w:p>
            <w:pPr>
              <w:jc w:val="center"/>
            </w:pPr>
            <w:r>
              <w:rPr>
                <w:rFonts w:ascii="Calibri" w:hAnsi="Calibri"/>
                <w:b w:val="0"/>
                <w:i w:val="0"/>
                <w:color w:val="2E2E2E"/>
                <w:sz w:val="20"/>
              </w:rPr>
              <w:t>&gt;65%</w:t>
            </w:r>
          </w:p>
        </w:tc>
        <w:tc>
          <w:tcPr>
            <w:tcW w:type="dxa" w:w="2592"/>
            <w:shd w:val="clear" w:color="auto" w:fill="FFFFFF"/>
            <w:vAlign w:val="center"/>
          </w:tcPr>
          <w:p>
            <w:pPr>
              <w:jc w:val="center"/>
            </w:pPr>
            <w:r>
              <w:rPr>
                <w:rFonts w:ascii="Calibri" w:hAnsi="Calibri"/>
                <w:b w:val="0"/>
                <w:i w:val="0"/>
                <w:color w:val="2E2E2E"/>
                <w:sz w:val="20"/>
              </w:rPr>
              <w:t>Foodpanda</w:t>
            </w:r>
          </w:p>
        </w:tc>
        <w:tc>
          <w:tcPr>
            <w:tcW w:type="dxa" w:w="2016"/>
            <w:shd w:val="clear" w:color="auto" w:fill="FFFFFF"/>
            <w:vAlign w:val="center"/>
          </w:tcPr>
          <w:p>
            <w:pPr>
              <w:jc w:val="center"/>
            </w:pPr>
            <w:r>
              <w:rPr>
                <w:rFonts w:ascii="Calibri" w:hAnsi="Calibri"/>
                <w:b w:val="0"/>
                <w:i w:val="0"/>
                <w:color w:val="2E2E2E"/>
                <w:sz w:val="20"/>
              </w:rPr>
              <w:t>&lt;20%</w:t>
            </w:r>
          </w:p>
        </w:tc>
        <w:tc>
          <w:tcPr>
            <w:tcW w:type="dxa" w:w="2880"/>
            <w:shd w:val="clear" w:color="auto" w:fill="FFFFFF"/>
            <w:vAlign w:val="center"/>
          </w:tcPr>
          <w:p>
            <w:pPr>
              <w:jc w:val="center"/>
            </w:pPr>
            <w:r>
              <w:rPr>
                <w:rFonts w:ascii="Calibri" w:hAnsi="Calibri"/>
                <w:b w:val="0"/>
                <w:i w:val="0"/>
                <w:color w:val="2E2E2E"/>
                <w:sz w:val="20"/>
              </w:rPr>
              <w:t>Grab dominant; home market</w:t>
            </w:r>
          </w:p>
        </w:tc>
      </w:tr>
      <w:tr>
        <w:tc>
          <w:tcPr>
            <w:tcW w:type="dxa" w:w="2880"/>
            <w:shd w:val="clear" w:color="auto" w:fill="EAF7EE"/>
            <w:vAlign w:val="center"/>
          </w:tcPr>
          <w:p>
            <w:r>
              <w:rPr>
                <w:rFonts w:ascii="Calibri" w:hAnsi="Calibri"/>
                <w:b/>
                <w:i w:val="0"/>
                <w:color w:val="2E2E2E"/>
                <w:sz w:val="20"/>
              </w:rPr>
              <w:t>Food Delivery — Malaysia</w:t>
            </w:r>
          </w:p>
        </w:tc>
        <w:tc>
          <w:tcPr>
            <w:tcW w:type="dxa" w:w="1728"/>
            <w:shd w:val="clear" w:color="auto" w:fill="EAF7EE"/>
            <w:vAlign w:val="center"/>
          </w:tcPr>
          <w:p>
            <w:pPr>
              <w:jc w:val="center"/>
            </w:pPr>
            <w:r>
              <w:rPr>
                <w:rFonts w:ascii="Calibri" w:hAnsi="Calibri"/>
                <w:b w:val="0"/>
                <w:i w:val="0"/>
                <w:color w:val="2E2E2E"/>
                <w:sz w:val="20"/>
              </w:rPr>
              <w:t>&gt;60%</w:t>
            </w:r>
          </w:p>
        </w:tc>
        <w:tc>
          <w:tcPr>
            <w:tcW w:type="dxa" w:w="2592"/>
            <w:shd w:val="clear" w:color="auto" w:fill="EAF7EE"/>
            <w:vAlign w:val="center"/>
          </w:tcPr>
          <w:p>
            <w:pPr>
              <w:jc w:val="center"/>
            </w:pPr>
            <w:r>
              <w:rPr>
                <w:rFonts w:ascii="Calibri" w:hAnsi="Calibri"/>
                <w:b w:val="0"/>
                <w:i w:val="0"/>
                <w:color w:val="2E2E2E"/>
                <w:sz w:val="20"/>
              </w:rPr>
              <w:t>Foodpanda</w:t>
            </w:r>
          </w:p>
        </w:tc>
        <w:tc>
          <w:tcPr>
            <w:tcW w:type="dxa" w:w="2016"/>
            <w:shd w:val="clear" w:color="auto" w:fill="EAF7EE"/>
            <w:vAlign w:val="center"/>
          </w:tcPr>
          <w:p>
            <w:pPr>
              <w:jc w:val="center"/>
            </w:pPr>
            <w:r>
              <w:rPr>
                <w:rFonts w:ascii="Calibri" w:hAnsi="Calibri"/>
                <w:b w:val="0"/>
                <w:i w:val="0"/>
                <w:color w:val="2E2E2E"/>
                <w:sz w:val="20"/>
              </w:rPr>
              <w:t>~20%</w:t>
            </w:r>
          </w:p>
        </w:tc>
        <w:tc>
          <w:tcPr>
            <w:tcW w:type="dxa" w:w="2880"/>
            <w:shd w:val="clear" w:color="auto" w:fill="EAF7EE"/>
            <w:vAlign w:val="center"/>
          </w:tcPr>
          <w:p>
            <w:pPr>
              <w:jc w:val="center"/>
            </w:pPr>
            <w:r>
              <w:rPr>
                <w:rFonts w:ascii="Calibri" w:hAnsi="Calibri"/>
                <w:b w:val="0"/>
                <w:i w:val="0"/>
                <w:color w:val="2E2E2E"/>
                <w:sz w:val="20"/>
              </w:rPr>
              <w:t>Grab dominant</w:t>
            </w:r>
          </w:p>
        </w:tc>
      </w:tr>
      <w:tr>
        <w:tc>
          <w:tcPr>
            <w:tcW w:type="dxa" w:w="2880"/>
            <w:shd w:val="clear" w:color="auto" w:fill="FFFFFF"/>
            <w:vAlign w:val="center"/>
          </w:tcPr>
          <w:p>
            <w:r>
              <w:rPr>
                <w:rFonts w:ascii="Calibri" w:hAnsi="Calibri"/>
                <w:b/>
                <w:i w:val="0"/>
                <w:color w:val="2E2E2E"/>
                <w:sz w:val="20"/>
              </w:rPr>
              <w:t>Food Delivery — Philippines</w:t>
            </w:r>
          </w:p>
        </w:tc>
        <w:tc>
          <w:tcPr>
            <w:tcW w:type="dxa" w:w="1728"/>
            <w:shd w:val="clear" w:color="auto" w:fill="FFFFFF"/>
            <w:vAlign w:val="center"/>
          </w:tcPr>
          <w:p>
            <w:pPr>
              <w:jc w:val="center"/>
            </w:pPr>
            <w:r>
              <w:rPr>
                <w:rFonts w:ascii="Calibri" w:hAnsi="Calibri"/>
                <w:b w:val="0"/>
                <w:i w:val="0"/>
                <w:color w:val="2E2E2E"/>
                <w:sz w:val="20"/>
              </w:rPr>
              <w:t>&gt;55%</w:t>
            </w:r>
          </w:p>
        </w:tc>
        <w:tc>
          <w:tcPr>
            <w:tcW w:type="dxa" w:w="2592"/>
            <w:shd w:val="clear" w:color="auto" w:fill="FFFFFF"/>
            <w:vAlign w:val="center"/>
          </w:tcPr>
          <w:p>
            <w:pPr>
              <w:jc w:val="center"/>
            </w:pPr>
            <w:r>
              <w:rPr>
                <w:rFonts w:ascii="Calibri" w:hAnsi="Calibri"/>
                <w:b w:val="0"/>
                <w:i w:val="0"/>
                <w:color w:val="2E2E2E"/>
                <w:sz w:val="20"/>
              </w:rPr>
              <w:t>Foodpanda</w:t>
            </w:r>
          </w:p>
        </w:tc>
        <w:tc>
          <w:tcPr>
            <w:tcW w:type="dxa" w:w="2016"/>
            <w:shd w:val="clear" w:color="auto" w:fill="FFFFFF"/>
            <w:vAlign w:val="center"/>
          </w:tcPr>
          <w:p>
            <w:pPr>
              <w:jc w:val="center"/>
            </w:pPr>
            <w:r>
              <w:rPr>
                <w:rFonts w:ascii="Calibri" w:hAnsi="Calibri"/>
                <w:b w:val="0"/>
                <w:i w:val="0"/>
                <w:color w:val="2E2E2E"/>
                <w:sz w:val="20"/>
              </w:rPr>
              <w:t>&lt;20%</w:t>
            </w:r>
          </w:p>
        </w:tc>
        <w:tc>
          <w:tcPr>
            <w:tcW w:type="dxa" w:w="2880"/>
            <w:shd w:val="clear" w:color="auto" w:fill="FFFFFF"/>
            <w:vAlign w:val="center"/>
          </w:tcPr>
          <w:p>
            <w:pPr>
              <w:jc w:val="center"/>
            </w:pPr>
            <w:r>
              <w:rPr>
                <w:rFonts w:ascii="Calibri" w:hAnsi="Calibri"/>
                <w:b w:val="0"/>
                <w:i w:val="0"/>
                <w:color w:val="2E2E2E"/>
                <w:sz w:val="20"/>
              </w:rPr>
              <w:t>Grab leading</w:t>
            </w:r>
          </w:p>
        </w:tc>
      </w:tr>
      <w:tr>
        <w:tc>
          <w:tcPr>
            <w:tcW w:type="dxa" w:w="2880"/>
            <w:shd w:val="clear" w:color="auto" w:fill="EAF7EE"/>
            <w:vAlign w:val="center"/>
          </w:tcPr>
          <w:p>
            <w:r>
              <w:rPr>
                <w:rFonts w:ascii="Calibri" w:hAnsi="Calibri"/>
                <w:b/>
                <w:i w:val="0"/>
                <w:color w:val="2E2E2E"/>
                <w:sz w:val="20"/>
              </w:rPr>
              <w:t>Ride-Hailing — SEA (est.)</w:t>
            </w:r>
          </w:p>
        </w:tc>
        <w:tc>
          <w:tcPr>
            <w:tcW w:type="dxa" w:w="1728"/>
            <w:shd w:val="clear" w:color="auto" w:fill="EAF7EE"/>
            <w:vAlign w:val="center"/>
          </w:tcPr>
          <w:p>
            <w:pPr>
              <w:jc w:val="center"/>
            </w:pPr>
            <w:r>
              <w:rPr>
                <w:rFonts w:ascii="Calibri" w:hAnsi="Calibri"/>
                <w:b w:val="0"/>
                <w:i w:val="0"/>
                <w:color w:val="2E2E2E"/>
                <w:sz w:val="20"/>
              </w:rPr>
              <w:t>~65–70%</w:t>
            </w:r>
          </w:p>
        </w:tc>
        <w:tc>
          <w:tcPr>
            <w:tcW w:type="dxa" w:w="2592"/>
            <w:shd w:val="clear" w:color="auto" w:fill="EAF7EE"/>
            <w:vAlign w:val="center"/>
          </w:tcPr>
          <w:p>
            <w:pPr>
              <w:jc w:val="center"/>
            </w:pPr>
            <w:r>
              <w:rPr>
                <w:rFonts w:ascii="Calibri" w:hAnsi="Calibri"/>
                <w:b w:val="0"/>
                <w:i w:val="0"/>
                <w:color w:val="2E2E2E"/>
                <w:sz w:val="20"/>
              </w:rPr>
              <w:t>Gojek (Indonesia)</w:t>
            </w:r>
          </w:p>
        </w:tc>
        <w:tc>
          <w:tcPr>
            <w:tcW w:type="dxa" w:w="2016"/>
            <w:shd w:val="clear" w:color="auto" w:fill="EAF7EE"/>
            <w:vAlign w:val="center"/>
          </w:tcPr>
          <w:p>
            <w:pPr>
              <w:jc w:val="center"/>
            </w:pPr>
            <w:r>
              <w:rPr>
                <w:rFonts w:ascii="Calibri" w:hAnsi="Calibri"/>
                <w:b w:val="0"/>
                <w:i w:val="0"/>
                <w:color w:val="2E2E2E"/>
                <w:sz w:val="20"/>
              </w:rPr>
              <w:t>High locally</w:t>
            </w:r>
          </w:p>
        </w:tc>
        <w:tc>
          <w:tcPr>
            <w:tcW w:type="dxa" w:w="2880"/>
            <w:shd w:val="clear" w:color="auto" w:fill="EAF7EE"/>
            <w:vAlign w:val="center"/>
          </w:tcPr>
          <w:p>
            <w:pPr>
              <w:jc w:val="center"/>
            </w:pPr>
            <w:r>
              <w:rPr>
                <w:rFonts w:ascii="Calibri" w:hAnsi="Calibri"/>
                <w:b w:val="0"/>
                <w:i w:val="0"/>
                <w:color w:val="2E2E2E"/>
                <w:sz w:val="20"/>
              </w:rPr>
              <w:t>Grab dominant outside Indonesia</w:t>
            </w:r>
          </w:p>
        </w:tc>
      </w:tr>
      <w:tr>
        <w:tc>
          <w:tcPr>
            <w:tcW w:type="dxa" w:w="2880"/>
            <w:shd w:val="clear" w:color="auto" w:fill="FFFFFF"/>
            <w:vAlign w:val="center"/>
          </w:tcPr>
          <w:p>
            <w:r>
              <w:rPr>
                <w:rFonts w:ascii="Calibri" w:hAnsi="Calibri"/>
                <w:b/>
                <w:i w:val="0"/>
                <w:color w:val="2E2E2E"/>
                <w:sz w:val="20"/>
              </w:rPr>
              <w:t>Digital Payments (SEA)</w:t>
            </w:r>
          </w:p>
        </w:tc>
        <w:tc>
          <w:tcPr>
            <w:tcW w:type="dxa" w:w="1728"/>
            <w:shd w:val="clear" w:color="auto" w:fill="FFFFFF"/>
            <w:vAlign w:val="center"/>
          </w:tcPr>
          <w:p>
            <w:pPr>
              <w:jc w:val="center"/>
            </w:pPr>
            <w:r>
              <w:rPr>
                <w:rFonts w:ascii="Calibri" w:hAnsi="Calibri"/>
                <w:b w:val="0"/>
                <w:i w:val="0"/>
                <w:color w:val="2E2E2E"/>
                <w:sz w:val="20"/>
              </w:rPr>
              <w:t>Leading</w:t>
            </w:r>
          </w:p>
        </w:tc>
        <w:tc>
          <w:tcPr>
            <w:tcW w:type="dxa" w:w="2592"/>
            <w:shd w:val="clear" w:color="auto" w:fill="FFFFFF"/>
            <w:vAlign w:val="center"/>
          </w:tcPr>
          <w:p>
            <w:pPr>
              <w:jc w:val="center"/>
            </w:pPr>
            <w:r>
              <w:rPr>
                <w:rFonts w:ascii="Calibri" w:hAnsi="Calibri"/>
                <w:b w:val="0"/>
                <w:i w:val="0"/>
                <w:color w:val="2E2E2E"/>
                <w:sz w:val="20"/>
              </w:rPr>
              <w:t>GoPay, OVO, GCash</w:t>
            </w:r>
          </w:p>
        </w:tc>
        <w:tc>
          <w:tcPr>
            <w:tcW w:type="dxa" w:w="2016"/>
            <w:shd w:val="clear" w:color="auto" w:fill="FFFFFF"/>
            <w:vAlign w:val="center"/>
          </w:tcPr>
          <w:p>
            <w:pPr>
              <w:jc w:val="center"/>
            </w:pPr>
            <w:r>
              <w:rPr>
                <w:rFonts w:ascii="Calibri" w:hAnsi="Calibri"/>
                <w:b w:val="0"/>
                <w:i w:val="0"/>
                <w:color w:val="2E2E2E"/>
                <w:sz w:val="20"/>
              </w:rPr>
              <w:t>Market varies</w:t>
            </w:r>
          </w:p>
        </w:tc>
        <w:tc>
          <w:tcPr>
            <w:tcW w:type="dxa" w:w="2880"/>
            <w:shd w:val="clear" w:color="auto" w:fill="FFFFFF"/>
            <w:vAlign w:val="center"/>
          </w:tcPr>
          <w:p>
            <w:pPr>
              <w:jc w:val="center"/>
            </w:pPr>
            <w:r>
              <w:rPr>
                <w:rFonts w:ascii="Calibri" w:hAnsi="Calibri"/>
                <w:b w:val="0"/>
                <w:i w:val="0"/>
                <w:color w:val="2E2E2E"/>
                <w:sz w:val="20"/>
              </w:rPr>
              <w:t>Fragmented; Grab strong in SG/MY</w:t>
            </w:r>
          </w:p>
        </w:tc>
      </w:tr>
    </w:tbl>
    <w:p>
      <w:pPr>
        <w:spacing w:before="0" w:after="120"/>
      </w:pPr>
    </w:p>
    <w:p>
      <w:pPr>
        <w:spacing w:before="200" w:after="60"/>
      </w:pPr>
      <w:r>
        <w:rPr>
          <w:rFonts w:ascii="Calibri" w:hAnsi="Calibri"/>
          <w:b/>
          <w:i w:val="0"/>
          <w:color w:val="2E2E2E"/>
          <w:sz w:val="24"/>
        </w:rPr>
        <w:t>Key Competitive Moats</w:t>
      </w:r>
    </w:p>
    <w:p>
      <w:pPr>
        <w:spacing w:before="120" w:after="40"/>
      </w:pPr>
      <w:r>
        <w:rPr>
          <w:rFonts w:ascii="Calibri" w:hAnsi="Calibri"/>
          <w:b/>
          <w:i w:val="0"/>
          <w:color w:val="555555"/>
          <w:sz w:val="22"/>
        </w:rPr>
        <w:t>1. Network Effects (Supply &amp; Demand)</w:t>
      </w:r>
    </w:p>
    <w:p>
      <w:pPr>
        <w:spacing w:before="0" w:after="80"/>
      </w:pPr>
      <w:r>
        <w:rPr>
          <w:rFonts w:ascii="Calibri" w:hAnsi="Calibri"/>
          <w:b w:val="0"/>
          <w:i w:val="0"/>
          <w:color w:val="2E2E2E"/>
          <w:sz w:val="21"/>
        </w:rPr>
        <w:t>Grab benefits from cross-side network effects: more consumers attract more driver-partners and restaurant merchants, which in turn improves availability, reduces wait times, and lowers prices — attracting more consumers. This flywheel is particularly powerful in the mobility segment where ride availability (measured in seconds) is the primary consumer selection criterion. In food delivery, merchant selection breadth creates a similar demand-side lock-in. The superapp model strengthens these effects by cross-selling: a user who starts with GrabFood is introduced to GrabCar, GrabMart, and GrabPay, increasing lifetime value and switching costs.</w:t>
      </w:r>
    </w:p>
    <w:p>
      <w:pPr>
        <w:spacing w:before="120" w:after="40"/>
      </w:pPr>
      <w:r>
        <w:rPr>
          <w:rFonts w:ascii="Calibri" w:hAnsi="Calibri"/>
          <w:b/>
          <w:i w:val="0"/>
          <w:color w:val="555555"/>
          <w:sz w:val="22"/>
        </w:rPr>
        <w:t>2. Data &amp; AI Moat</w:t>
      </w:r>
    </w:p>
    <w:p>
      <w:pPr>
        <w:spacing w:before="0" w:after="80"/>
      </w:pPr>
      <w:r>
        <w:rPr>
          <w:rFonts w:ascii="Calibri" w:hAnsi="Calibri"/>
          <w:b w:val="0"/>
          <w:i w:val="0"/>
          <w:color w:val="2E2E2E"/>
          <w:sz w:val="21"/>
        </w:rPr>
        <w:t>Grab processes hundreds of millions of transactions annually across rides, food orders, payments, and lending — generating a proprietary dataset of consumer behaviour, merchant performance, traffic patterns, and credit signals. This data advantage compounds over time and manifests in: (a) superior fraud detection, (b) better credit underwriting for GrabFin lending, (c) higher ROAS for GrabAds advertisers, and (d) improved route optimisation. The 2025 acquisition of Infermove (Chinese AI robotics startup) signals Grab's intent to deploy AI across its delivery network for further efficiency gains.</w:t>
      </w:r>
    </w:p>
    <w:p>
      <w:pPr>
        <w:spacing w:before="120" w:after="40"/>
      </w:pPr>
      <w:r>
        <w:rPr>
          <w:rFonts w:ascii="Calibri" w:hAnsi="Calibri"/>
          <w:b/>
          <w:i w:val="0"/>
          <w:color w:val="555555"/>
          <w:sz w:val="22"/>
        </w:rPr>
        <w:t>3. Regulatory Licensing (Digital Banking)</w:t>
      </w:r>
    </w:p>
    <w:p>
      <w:pPr>
        <w:spacing w:before="0" w:after="80"/>
      </w:pPr>
      <w:r>
        <w:rPr>
          <w:rFonts w:ascii="Calibri" w:hAnsi="Calibri"/>
          <w:b w:val="0"/>
          <w:i w:val="0"/>
          <w:color w:val="2E2E2E"/>
          <w:sz w:val="21"/>
        </w:rPr>
        <w:t>Digital banking licences are finite, government-awarded, and extremely difficult to obtain. GXS Bank (Singapore full digital banking licence) and GX Bank Berhad (Malaysia's first digital bank) represent a structural regulatory moat that cannot be replicated without a fresh regulatory application process spanning 3–5+ years. These licences unlock deposit-taking and lending at scale — dramatically expanding Grab's TAM and risk-adjusted revenue quality.</w:t>
      </w:r>
    </w:p>
    <w:p>
      <w:pPr>
        <w:spacing w:before="120" w:after="40"/>
      </w:pPr>
      <w:r>
        <w:rPr>
          <w:rFonts w:ascii="Calibri" w:hAnsi="Calibri"/>
          <w:b/>
          <w:i w:val="0"/>
          <w:color w:val="555555"/>
          <w:sz w:val="22"/>
        </w:rPr>
        <w:t>4. Brand &amp; Trust</w:t>
      </w:r>
    </w:p>
    <w:p>
      <w:pPr>
        <w:spacing w:before="0" w:after="80"/>
      </w:pPr>
      <w:r>
        <w:rPr>
          <w:rFonts w:ascii="Calibri" w:hAnsi="Calibri"/>
          <w:b w:val="0"/>
          <w:i w:val="0"/>
          <w:color w:val="2E2E2E"/>
          <w:sz w:val="21"/>
        </w:rPr>
        <w:t>In Southeast Asia, Grab is synonymous with ride-hailing and food delivery in the same way Google is synonymous with search. Consumer surveys consistently rank Grab as the most trusted digital platform in Singapore, Malaysia, and the Philippines. This trust extends naturally to GrabPay and GrabFin — a critical advantage when expanding into financial services where consumer trust is paramount.</w:t>
      </w:r>
    </w:p>
    <w:p>
      <w:pPr>
        <w:spacing w:before="120" w:after="40"/>
      </w:pPr>
      <w:r>
        <w:rPr>
          <w:rFonts w:ascii="Calibri" w:hAnsi="Calibri"/>
          <w:b/>
          <w:i w:val="0"/>
          <w:color w:val="555555"/>
          <w:sz w:val="22"/>
        </w:rPr>
        <w:t>5. Merchant &amp; Driver-Partner Ecosystem</w:t>
      </w:r>
    </w:p>
    <w:p>
      <w:pPr>
        <w:spacing w:before="0" w:after="80"/>
      </w:pPr>
      <w:r>
        <w:rPr>
          <w:rFonts w:ascii="Calibri" w:hAnsi="Calibri"/>
          <w:b w:val="0"/>
          <w:i w:val="0"/>
          <w:color w:val="2E2E2E"/>
          <w:sz w:val="21"/>
        </w:rPr>
        <w:t>Grab's network of 2M+ driver-partners, 1M+ merchant-partners, and millions of GrabPay merchant acceptance points represents an embedded distribution infrastructure that would cost billions of dollars and years of time to replicate. This ecosystem also creates a captive market for GrabFin merchant lending and insurance products.</w:t>
      </w:r>
    </w:p>
    <w:p>
      <w:pPr>
        <w:spacing w:before="200" w:after="60"/>
      </w:pPr>
      <w:r>
        <w:rPr>
          <w:rFonts w:ascii="Calibri" w:hAnsi="Calibri"/>
          <w:b/>
          <w:i w:val="0"/>
          <w:color w:val="2E2E2E"/>
          <w:sz w:val="24"/>
        </w:rPr>
        <w:t>Competitive Threats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A7A3F"/>
            <w:vAlign w:val="center"/>
          </w:tcPr>
          <w:p>
            <w:pPr>
              <w:jc w:val="center"/>
            </w:pPr>
            <w:r>
              <w:rPr>
                <w:rFonts w:ascii="Calibri" w:hAnsi="Calibri"/>
                <w:b/>
                <w:i w:val="0"/>
                <w:color w:val="FFFFFF"/>
                <w:sz w:val="20"/>
              </w:rPr>
              <w:t>Competitor</w:t>
            </w:r>
          </w:p>
        </w:tc>
        <w:tc>
          <w:tcPr>
            <w:tcW w:type="dxa" w:w="2592"/>
            <w:shd w:val="clear" w:color="auto" w:fill="1A7A3F"/>
            <w:vAlign w:val="center"/>
          </w:tcPr>
          <w:p>
            <w:pPr>
              <w:jc w:val="center"/>
            </w:pPr>
            <w:r>
              <w:rPr>
                <w:rFonts w:ascii="Calibri" w:hAnsi="Calibri"/>
                <w:b/>
                <w:i w:val="0"/>
                <w:color w:val="FFFFFF"/>
                <w:sz w:val="20"/>
              </w:rPr>
              <w:t>Geography</w:t>
            </w:r>
          </w:p>
        </w:tc>
        <w:tc>
          <w:tcPr>
            <w:tcW w:type="dxa" w:w="2016"/>
            <w:shd w:val="clear" w:color="auto" w:fill="1A7A3F"/>
            <w:vAlign w:val="center"/>
          </w:tcPr>
          <w:p>
            <w:pPr>
              <w:jc w:val="center"/>
            </w:pPr>
            <w:r>
              <w:rPr>
                <w:rFonts w:ascii="Calibri" w:hAnsi="Calibri"/>
                <w:b/>
                <w:i w:val="0"/>
                <w:color w:val="FFFFFF"/>
                <w:sz w:val="20"/>
              </w:rPr>
              <w:t>Threat Level</w:t>
            </w:r>
          </w:p>
        </w:tc>
        <w:tc>
          <w:tcPr>
            <w:tcW w:type="dxa" w:w="4608"/>
            <w:shd w:val="clear" w:color="auto" w:fill="1A7A3F"/>
            <w:vAlign w:val="center"/>
          </w:tcPr>
          <w:p>
            <w:pPr>
              <w:jc w:val="center"/>
            </w:pPr>
            <w:r>
              <w:rPr>
                <w:rFonts w:ascii="Calibri" w:hAnsi="Calibri"/>
                <w:b/>
                <w:i w:val="0"/>
                <w:color w:val="FFFFFF"/>
                <w:sz w:val="20"/>
              </w:rPr>
              <w:t>Primary Competitive Vector</w:t>
            </w:r>
          </w:p>
        </w:tc>
      </w:tr>
      <w:tr>
        <w:tc>
          <w:tcPr>
            <w:tcW w:type="dxa" w:w="2880"/>
            <w:shd w:val="clear" w:color="auto" w:fill="EAF7EE"/>
            <w:vAlign w:val="center"/>
          </w:tcPr>
          <w:p>
            <w:r>
              <w:rPr>
                <w:rFonts w:ascii="Calibri" w:hAnsi="Calibri"/>
                <w:b/>
                <w:i w:val="0"/>
                <w:color w:val="2E2E2E"/>
                <w:sz w:val="20"/>
              </w:rPr>
              <w:t>Gojek (GoTo Group)</w:t>
            </w:r>
          </w:p>
        </w:tc>
        <w:tc>
          <w:tcPr>
            <w:tcW w:type="dxa" w:w="2592"/>
            <w:shd w:val="clear" w:color="auto" w:fill="EAF7EE"/>
            <w:vAlign w:val="center"/>
          </w:tcPr>
          <w:p>
            <w:pPr>
              <w:jc w:val="center"/>
            </w:pPr>
            <w:r>
              <w:rPr>
                <w:rFonts w:ascii="Calibri" w:hAnsi="Calibri"/>
                <w:b w:val="0"/>
                <w:i w:val="0"/>
                <w:color w:val="2E2E2E"/>
                <w:sz w:val="20"/>
              </w:rPr>
              <w:t>Indonesia, Vietnam</w:t>
            </w:r>
          </w:p>
        </w:tc>
        <w:tc>
          <w:tcPr>
            <w:tcW w:type="dxa" w:w="2016"/>
            <w:shd w:val="clear" w:color="auto" w:fill="EAF7EE"/>
            <w:vAlign w:val="center"/>
          </w:tcPr>
          <w:p>
            <w:pPr>
              <w:jc w:val="center"/>
            </w:pPr>
            <w:r>
              <w:rPr>
                <w:rFonts w:ascii="Calibri" w:hAnsi="Calibri"/>
                <w:b w:val="0"/>
                <w:i w:val="0"/>
                <w:color w:val="2E2E2E"/>
                <w:sz w:val="20"/>
              </w:rPr>
              <w:t>HIGH in Indonesia</w:t>
            </w:r>
          </w:p>
        </w:tc>
        <w:tc>
          <w:tcPr>
            <w:tcW w:type="dxa" w:w="4608"/>
            <w:shd w:val="clear" w:color="auto" w:fill="EAF7EE"/>
            <w:vAlign w:val="center"/>
          </w:tcPr>
          <w:p>
            <w:pPr>
              <w:jc w:val="center"/>
            </w:pPr>
            <w:r>
              <w:rPr>
                <w:rFonts w:ascii="Calibri" w:hAnsi="Calibri"/>
                <w:b w:val="0"/>
                <w:i w:val="0"/>
                <w:color w:val="2E2E2E"/>
                <w:sz w:val="20"/>
              </w:rPr>
              <w:t>Home-market network effects; OVO payments</w:t>
            </w:r>
          </w:p>
        </w:tc>
      </w:tr>
      <w:tr>
        <w:tc>
          <w:tcPr>
            <w:tcW w:type="dxa" w:w="2880"/>
            <w:shd w:val="clear" w:color="auto" w:fill="FFFFFF"/>
            <w:vAlign w:val="center"/>
          </w:tcPr>
          <w:p>
            <w:r>
              <w:rPr>
                <w:rFonts w:ascii="Calibri" w:hAnsi="Calibri"/>
                <w:b/>
                <w:i w:val="0"/>
                <w:color w:val="2E2E2E"/>
                <w:sz w:val="20"/>
              </w:rPr>
              <w:t>ShopeeFood (Sea Ltd)</w:t>
            </w:r>
          </w:p>
        </w:tc>
        <w:tc>
          <w:tcPr>
            <w:tcW w:type="dxa" w:w="2592"/>
            <w:shd w:val="clear" w:color="auto" w:fill="FFFFFF"/>
            <w:vAlign w:val="center"/>
          </w:tcPr>
          <w:p>
            <w:pPr>
              <w:jc w:val="center"/>
            </w:pPr>
            <w:r>
              <w:rPr>
                <w:rFonts w:ascii="Calibri" w:hAnsi="Calibri"/>
                <w:b w:val="0"/>
                <w:i w:val="0"/>
                <w:color w:val="2E2E2E"/>
                <w:sz w:val="20"/>
              </w:rPr>
              <w:t>Vietnam, SEA-wide</w:t>
            </w:r>
          </w:p>
        </w:tc>
        <w:tc>
          <w:tcPr>
            <w:tcW w:type="dxa" w:w="2016"/>
            <w:shd w:val="clear" w:color="auto" w:fill="FFFFFF"/>
            <w:vAlign w:val="center"/>
          </w:tcPr>
          <w:p>
            <w:pPr>
              <w:jc w:val="center"/>
            </w:pPr>
            <w:r>
              <w:rPr>
                <w:rFonts w:ascii="Calibri" w:hAnsi="Calibri"/>
                <w:b w:val="0"/>
                <w:i w:val="0"/>
                <w:color w:val="2E2E2E"/>
                <w:sz w:val="20"/>
              </w:rPr>
              <w:t>MEDIUM-HIGH</w:t>
            </w:r>
          </w:p>
        </w:tc>
        <w:tc>
          <w:tcPr>
            <w:tcW w:type="dxa" w:w="4608"/>
            <w:shd w:val="clear" w:color="auto" w:fill="FFFFFF"/>
            <w:vAlign w:val="center"/>
          </w:tcPr>
          <w:p>
            <w:pPr>
              <w:jc w:val="center"/>
            </w:pPr>
            <w:r>
              <w:rPr>
                <w:rFonts w:ascii="Calibri" w:hAnsi="Calibri"/>
                <w:b w:val="0"/>
                <w:i w:val="0"/>
                <w:color w:val="2E2E2E"/>
                <w:sz w:val="20"/>
              </w:rPr>
              <w:t>Cross-subsidy from Shopee e-commerce; rapid share gains in Vietnam</w:t>
            </w:r>
          </w:p>
        </w:tc>
      </w:tr>
      <w:tr>
        <w:tc>
          <w:tcPr>
            <w:tcW w:type="dxa" w:w="2880"/>
            <w:shd w:val="clear" w:color="auto" w:fill="EAF7EE"/>
            <w:vAlign w:val="center"/>
          </w:tcPr>
          <w:p>
            <w:r>
              <w:rPr>
                <w:rFonts w:ascii="Calibri" w:hAnsi="Calibri"/>
                <w:b/>
                <w:i w:val="0"/>
                <w:color w:val="2E2E2E"/>
                <w:sz w:val="20"/>
              </w:rPr>
              <w:t>Foodpanda (Delivery Hero)</w:t>
            </w:r>
          </w:p>
        </w:tc>
        <w:tc>
          <w:tcPr>
            <w:tcW w:type="dxa" w:w="2592"/>
            <w:shd w:val="clear" w:color="auto" w:fill="EAF7EE"/>
            <w:vAlign w:val="center"/>
          </w:tcPr>
          <w:p>
            <w:pPr>
              <w:jc w:val="center"/>
            </w:pPr>
            <w:r>
              <w:rPr>
                <w:rFonts w:ascii="Calibri" w:hAnsi="Calibri"/>
                <w:b w:val="0"/>
                <w:i w:val="0"/>
                <w:color w:val="2E2E2E"/>
                <w:sz w:val="20"/>
              </w:rPr>
              <w:t>Singapore, MY, PH, TH</w:t>
            </w:r>
          </w:p>
        </w:tc>
        <w:tc>
          <w:tcPr>
            <w:tcW w:type="dxa" w:w="2016"/>
            <w:shd w:val="clear" w:color="auto" w:fill="EAF7EE"/>
            <w:vAlign w:val="center"/>
          </w:tcPr>
          <w:p>
            <w:pPr>
              <w:jc w:val="center"/>
            </w:pPr>
            <w:r>
              <w:rPr>
                <w:rFonts w:ascii="Calibri" w:hAnsi="Calibri"/>
                <w:b w:val="0"/>
                <w:i w:val="0"/>
                <w:color w:val="2E2E2E"/>
                <w:sz w:val="20"/>
              </w:rPr>
              <w:t>MEDIUM</w:t>
            </w:r>
          </w:p>
        </w:tc>
        <w:tc>
          <w:tcPr>
            <w:tcW w:type="dxa" w:w="4608"/>
            <w:shd w:val="clear" w:color="auto" w:fill="EAF7EE"/>
            <w:vAlign w:val="center"/>
          </w:tcPr>
          <w:p>
            <w:pPr>
              <w:jc w:val="center"/>
            </w:pPr>
            <w:r>
              <w:rPr>
                <w:rFonts w:ascii="Calibri" w:hAnsi="Calibri"/>
                <w:b w:val="0"/>
                <w:i w:val="0"/>
                <w:color w:val="2E2E2E"/>
                <w:sz w:val="20"/>
              </w:rPr>
              <w:t>Established restaurant relationships; being outcompeted</w:t>
            </w:r>
          </w:p>
        </w:tc>
      </w:tr>
      <w:tr>
        <w:tc>
          <w:tcPr>
            <w:tcW w:type="dxa" w:w="2880"/>
            <w:shd w:val="clear" w:color="auto" w:fill="FFFFFF"/>
            <w:vAlign w:val="center"/>
          </w:tcPr>
          <w:p>
            <w:r>
              <w:rPr>
                <w:rFonts w:ascii="Calibri" w:hAnsi="Calibri"/>
                <w:b/>
                <w:i w:val="0"/>
                <w:color w:val="2E2E2E"/>
                <w:sz w:val="20"/>
              </w:rPr>
              <w:t>TikTok Shop / ByteDance</w:t>
            </w:r>
          </w:p>
        </w:tc>
        <w:tc>
          <w:tcPr>
            <w:tcW w:type="dxa" w:w="2592"/>
            <w:shd w:val="clear" w:color="auto" w:fill="FFFFFF"/>
            <w:vAlign w:val="center"/>
          </w:tcPr>
          <w:p>
            <w:pPr>
              <w:jc w:val="center"/>
            </w:pPr>
            <w:r>
              <w:rPr>
                <w:rFonts w:ascii="Calibri" w:hAnsi="Calibri"/>
                <w:b w:val="0"/>
                <w:i w:val="0"/>
                <w:color w:val="2E2E2E"/>
                <w:sz w:val="20"/>
              </w:rPr>
              <w:t>SEA-wide</w:t>
            </w:r>
          </w:p>
        </w:tc>
        <w:tc>
          <w:tcPr>
            <w:tcW w:type="dxa" w:w="2016"/>
            <w:shd w:val="clear" w:color="auto" w:fill="FFFFFF"/>
            <w:vAlign w:val="center"/>
          </w:tcPr>
          <w:p>
            <w:pPr>
              <w:jc w:val="center"/>
            </w:pPr>
            <w:r>
              <w:rPr>
                <w:rFonts w:ascii="Calibri" w:hAnsi="Calibri"/>
                <w:b w:val="0"/>
                <w:i w:val="0"/>
                <w:color w:val="2E2E2E"/>
                <w:sz w:val="20"/>
              </w:rPr>
              <w:t>Emerging</w:t>
            </w:r>
          </w:p>
        </w:tc>
        <w:tc>
          <w:tcPr>
            <w:tcW w:type="dxa" w:w="4608"/>
            <w:shd w:val="clear" w:color="auto" w:fill="FFFFFF"/>
            <w:vAlign w:val="center"/>
          </w:tcPr>
          <w:p>
            <w:pPr>
              <w:jc w:val="center"/>
            </w:pPr>
            <w:r>
              <w:rPr>
                <w:rFonts w:ascii="Calibri" w:hAnsi="Calibri"/>
                <w:b w:val="0"/>
                <w:i w:val="0"/>
                <w:color w:val="2E2E2E"/>
                <w:sz w:val="20"/>
              </w:rPr>
              <w:t>Social commerce, potential delivery expansion</w:t>
            </w:r>
          </w:p>
        </w:tc>
      </w:tr>
      <w:tr>
        <w:tc>
          <w:tcPr>
            <w:tcW w:type="dxa" w:w="2880"/>
            <w:shd w:val="clear" w:color="auto" w:fill="EAF7EE"/>
            <w:vAlign w:val="center"/>
          </w:tcPr>
          <w:p>
            <w:r>
              <w:rPr>
                <w:rFonts w:ascii="Calibri" w:hAnsi="Calibri"/>
                <w:b/>
                <w:i w:val="0"/>
                <w:color w:val="2E2E2E"/>
                <w:sz w:val="20"/>
              </w:rPr>
              <w:t>Local players</w:t>
            </w:r>
          </w:p>
        </w:tc>
        <w:tc>
          <w:tcPr>
            <w:tcW w:type="dxa" w:w="2592"/>
            <w:shd w:val="clear" w:color="auto" w:fill="EAF7EE"/>
            <w:vAlign w:val="center"/>
          </w:tcPr>
          <w:p>
            <w:pPr>
              <w:jc w:val="center"/>
            </w:pPr>
            <w:r>
              <w:rPr>
                <w:rFonts w:ascii="Calibri" w:hAnsi="Calibri"/>
                <w:b w:val="0"/>
                <w:i w:val="0"/>
                <w:color w:val="2E2E2E"/>
                <w:sz w:val="20"/>
              </w:rPr>
              <w:t>Country-specific</w:t>
            </w:r>
          </w:p>
        </w:tc>
        <w:tc>
          <w:tcPr>
            <w:tcW w:type="dxa" w:w="2016"/>
            <w:shd w:val="clear" w:color="auto" w:fill="EAF7EE"/>
            <w:vAlign w:val="center"/>
          </w:tcPr>
          <w:p>
            <w:pPr>
              <w:jc w:val="center"/>
            </w:pPr>
            <w:r>
              <w:rPr>
                <w:rFonts w:ascii="Calibri" w:hAnsi="Calibri"/>
                <w:b w:val="0"/>
                <w:i w:val="0"/>
                <w:color w:val="2E2E2E"/>
                <w:sz w:val="20"/>
              </w:rPr>
              <w:t>LOW–MEDIUM</w:t>
            </w:r>
          </w:p>
        </w:tc>
        <w:tc>
          <w:tcPr>
            <w:tcW w:type="dxa" w:w="4608"/>
            <w:shd w:val="clear" w:color="auto" w:fill="EAF7EE"/>
            <w:vAlign w:val="center"/>
          </w:tcPr>
          <w:p>
            <w:pPr>
              <w:jc w:val="center"/>
            </w:pPr>
            <w:r>
              <w:rPr>
                <w:rFonts w:ascii="Calibri" w:hAnsi="Calibri"/>
                <w:b w:val="0"/>
                <w:i w:val="0"/>
                <w:color w:val="2E2E2E"/>
                <w:sz w:val="20"/>
              </w:rPr>
              <w:t>Price-competitive, but limited superapp potential</w:t>
            </w:r>
          </w:p>
        </w:tc>
      </w:tr>
    </w:tbl>
    <w:p>
      <w:pPr>
        <w:spacing w:before="0" w:after="120"/>
      </w:pPr>
    </w:p>
    <w:p>
      <w:pPr>
        <w:spacing w:before="200" w:after="60"/>
      </w:pPr>
      <w:r>
        <w:rPr>
          <w:rFonts w:ascii="Calibri" w:hAnsi="Calibri"/>
          <w:b/>
          <w:i w:val="0"/>
          <w:color w:val="2E2E2E"/>
          <w:sz w:val="24"/>
        </w:rPr>
        <w:t>The GoTo (Grab + Gojek) Merger — Strategic Context</w:t>
      </w:r>
    </w:p>
    <w:p>
      <w:pPr>
        <w:spacing w:before="0" w:after="80"/>
      </w:pPr>
      <w:r>
        <w:rPr>
          <w:rFonts w:ascii="Calibri" w:hAnsi="Calibri"/>
          <w:b w:val="0"/>
          <w:i w:val="0"/>
          <w:color w:val="2E2E2E"/>
          <w:sz w:val="21"/>
        </w:rPr>
        <w:t>Throughout 2025, Grab and GoTo Group explored a potential merger that would have created a dominant pan-SEA superapp with combined revenues exceeding $5B and unrivalled scale. The strategic logic was compelling: eliminating the single most costly competitive battle in SEA tech (Grab vs. Gojek in Indonesia) and accelerating the path to profitability for both entities. However, Indonesia's competition regulator (KPPU) raised serious antitrust concerns, warning that the deal could create a digital monopoly controlling over 90% of key markets. Indonesia's state investment vehicle Danantara was reportedly exploring a 'golden share' structure to preserve competition. As of early 2026, Grab has indicated it is not currently pursuing the deal, but market observers expect the strategic rationale to keep merger discussions alive. A successful transaction — even with structural remedies — would be materially value-accretive for Grab shareholders.</w:t>
      </w:r>
    </w:p>
    <w:p>
      <w:r>
        <w:br w:type="page"/>
      </w:r>
    </w:p>
    <w:p>
      <w:pPr>
        <w:spacing w:before="280" w:after="80"/>
        <w:pBdr>
          <w:bottom w:val="single" w:sz="6" w:space="1" w:color="00B14F"/>
        </w:pBdr>
      </w:pPr>
      <w:r>
        <w:rPr>
          <w:rFonts w:ascii="Calibri" w:hAnsi="Calibri"/>
          <w:b/>
          <w:i w:val="0"/>
          <w:color w:val="00B14F"/>
          <w:sz w:val="30"/>
        </w:rPr>
        <w:t>PHASE 5 — MANAGEMENT &amp; GOVERNANCE</w:t>
      </w:r>
    </w:p>
    <w:p>
      <w:pPr>
        <w:spacing w:before="200" w:after="60"/>
      </w:pPr>
      <w:r>
        <w:rPr>
          <w:rFonts w:ascii="Calibri" w:hAnsi="Calibri"/>
          <w:b/>
          <w:i w:val="0"/>
          <w:color w:val="2E2E2E"/>
          <w:sz w:val="24"/>
        </w:rPr>
        <w:t>Founder-Led Leadership</w:t>
      </w:r>
    </w:p>
    <w:p>
      <w:pPr>
        <w:spacing w:before="0" w:after="80"/>
      </w:pPr>
      <w:r>
        <w:rPr>
          <w:rFonts w:ascii="Calibri" w:hAnsi="Calibri"/>
          <w:b w:val="0"/>
          <w:i w:val="0"/>
          <w:color w:val="2E2E2E"/>
          <w:sz w:val="21"/>
        </w:rPr>
        <w:t>Anthony Tan is the co-founder and Group CEO of Grab. Born in Kuala Lumpur to a prominent automotive industry family (Tan Chong Motor Group — distributors of Nissan in Malaysia), he attended Harvard Business School where he met co-founder Tan Hooi Ling (Class of 2011). The idea for Grab grew from a Harvard Business School competition — recognising the safety and transparency problems with Southeast Asian taxis. Anthony Tan is a World Economic Forum Young Global Leader and has been recognised among Asia's most influential business leaders.</w:t>
      </w:r>
    </w:p>
    <w:p>
      <w:pPr>
        <w:spacing w:before="0" w:after="80"/>
      </w:pPr>
      <w:r>
        <w:rPr>
          <w:rFonts w:ascii="Calibri" w:hAnsi="Calibri"/>
          <w:b w:val="0"/>
          <w:i w:val="0"/>
          <w:color w:val="2E2E2E"/>
          <w:sz w:val="21"/>
        </w:rPr>
        <w:t>Tan Hooi Ling served as co-founder and COO until 2023, driving Grab's operational excellence. The senior leadership team spans former executives from Google, McKinsey, Goldman Sachs, DBS Bank, and Facebook, providing deep domain expertise across technology, finance, and operations.</w:t>
      </w:r>
    </w:p>
    <w:p>
      <w:pPr>
        <w:spacing w:before="200" w:after="60"/>
      </w:pPr>
      <w:r>
        <w:rPr>
          <w:rFonts w:ascii="Calibri" w:hAnsi="Calibri"/>
          <w:b/>
          <w:i w:val="0"/>
          <w:color w:val="2E2E2E"/>
          <w:sz w:val="24"/>
        </w:rPr>
        <w:t>Dual-Class Share Structure</w:t>
      </w:r>
    </w:p>
    <w:p>
      <w:pPr>
        <w:spacing w:before="0" w:after="80"/>
      </w:pPr>
      <w:r>
        <w:rPr>
          <w:rFonts w:ascii="Calibri" w:hAnsi="Calibri"/>
          <w:b w:val="0"/>
          <w:i w:val="0"/>
          <w:color w:val="2E2E2E"/>
          <w:sz w:val="21"/>
        </w:rPr>
        <w:t>Grab has a dual-class share structure that gives Anthony Tan effective control of the company regardless of economic ownership. Class A Ordinary Shares (publicly traded, 1 vote each) and Class B Ordinary Shares (held by management and founders, 45 votes each). Anthony Tan controls approximately 62.4% of total voting power despite holding only approximately 3.6% of ordinary shares on an economic basis. He additionally chairs the board and leads the nomination committee.</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A7A3F"/>
            <w:vAlign w:val="center"/>
          </w:tcPr>
          <w:p>
            <w:pPr>
              <w:jc w:val="center"/>
            </w:pPr>
            <w:r>
              <w:rPr>
                <w:rFonts w:ascii="Calibri" w:hAnsi="Calibri"/>
                <w:b/>
                <w:i w:val="0"/>
                <w:color w:val="FFFFFF"/>
                <w:sz w:val="20"/>
              </w:rPr>
              <w:t>Governance Item</w:t>
            </w:r>
          </w:p>
        </w:tc>
        <w:tc>
          <w:tcPr>
            <w:tcW w:type="dxa" w:w="4032"/>
            <w:shd w:val="clear" w:color="auto" w:fill="1A7A3F"/>
            <w:vAlign w:val="center"/>
          </w:tcPr>
          <w:p>
            <w:pPr>
              <w:jc w:val="center"/>
            </w:pPr>
            <w:r>
              <w:rPr>
                <w:rFonts w:ascii="Calibri" w:hAnsi="Calibri"/>
                <w:b/>
                <w:i w:val="0"/>
                <w:color w:val="FFFFFF"/>
                <w:sz w:val="20"/>
              </w:rPr>
              <w:t>Detail</w:t>
            </w:r>
          </w:p>
        </w:tc>
        <w:tc>
          <w:tcPr>
            <w:tcW w:type="dxa" w:w="4896"/>
            <w:shd w:val="clear" w:color="auto" w:fill="1A7A3F"/>
            <w:vAlign w:val="center"/>
          </w:tcPr>
          <w:p>
            <w:pPr>
              <w:jc w:val="center"/>
            </w:pPr>
            <w:r>
              <w:rPr>
                <w:rFonts w:ascii="Calibri" w:hAnsi="Calibri"/>
                <w:b/>
                <w:i w:val="0"/>
                <w:color w:val="FFFFFF"/>
                <w:sz w:val="20"/>
              </w:rPr>
              <w:t>Investor Implication</w:t>
            </w:r>
          </w:p>
        </w:tc>
      </w:tr>
      <w:tr>
        <w:tc>
          <w:tcPr>
            <w:tcW w:type="dxa" w:w="3168"/>
            <w:shd w:val="clear" w:color="auto" w:fill="EAF7EE"/>
            <w:vAlign w:val="center"/>
          </w:tcPr>
          <w:p>
            <w:r>
              <w:rPr>
                <w:rFonts w:ascii="Calibri" w:hAnsi="Calibri"/>
                <w:b/>
                <w:i w:val="0"/>
                <w:color w:val="2E2E2E"/>
                <w:sz w:val="20"/>
              </w:rPr>
              <w:t>CEO Economic Ownership</w:t>
            </w:r>
          </w:p>
        </w:tc>
        <w:tc>
          <w:tcPr>
            <w:tcW w:type="dxa" w:w="4032"/>
            <w:shd w:val="clear" w:color="auto" w:fill="EAF7EE"/>
            <w:vAlign w:val="center"/>
          </w:tcPr>
          <w:p>
            <w:pPr>
              <w:jc w:val="center"/>
            </w:pPr>
            <w:r>
              <w:rPr>
                <w:rFonts w:ascii="Calibri" w:hAnsi="Calibri"/>
                <w:b w:val="0"/>
                <w:i w:val="0"/>
                <w:color w:val="2E2E2E"/>
                <w:sz w:val="20"/>
              </w:rPr>
              <w:t>~3.6% of ordinary shares</w:t>
            </w:r>
          </w:p>
        </w:tc>
        <w:tc>
          <w:tcPr>
            <w:tcW w:type="dxa" w:w="4896"/>
            <w:shd w:val="clear" w:color="auto" w:fill="EAF7EE"/>
            <w:vAlign w:val="center"/>
          </w:tcPr>
          <w:p>
            <w:pPr>
              <w:jc w:val="center"/>
            </w:pPr>
            <w:r>
              <w:rPr>
                <w:rFonts w:ascii="Calibri" w:hAnsi="Calibri"/>
                <w:b w:val="0"/>
                <w:i w:val="0"/>
                <w:color w:val="2E2E2E"/>
                <w:sz w:val="20"/>
              </w:rPr>
              <w:t>Limited economic alignment relative to control</w:t>
            </w:r>
          </w:p>
        </w:tc>
      </w:tr>
      <w:tr>
        <w:tc>
          <w:tcPr>
            <w:tcW w:type="dxa" w:w="3168"/>
            <w:shd w:val="clear" w:color="auto" w:fill="FFFFFF"/>
            <w:vAlign w:val="center"/>
          </w:tcPr>
          <w:p>
            <w:r>
              <w:rPr>
                <w:rFonts w:ascii="Calibri" w:hAnsi="Calibri"/>
                <w:b/>
                <w:i w:val="0"/>
                <w:color w:val="2E2E2E"/>
                <w:sz w:val="20"/>
              </w:rPr>
              <w:t>CEO Voting Control</w:t>
            </w:r>
          </w:p>
        </w:tc>
        <w:tc>
          <w:tcPr>
            <w:tcW w:type="dxa" w:w="4032"/>
            <w:shd w:val="clear" w:color="auto" w:fill="FFFFFF"/>
            <w:vAlign w:val="center"/>
          </w:tcPr>
          <w:p>
            <w:pPr>
              <w:jc w:val="center"/>
            </w:pPr>
            <w:r>
              <w:rPr>
                <w:rFonts w:ascii="Calibri" w:hAnsi="Calibri"/>
                <w:b w:val="0"/>
                <w:i w:val="0"/>
                <w:color w:val="2E2E2E"/>
                <w:sz w:val="20"/>
              </w:rPr>
              <w:t>~62.4% of total votes</w:t>
            </w:r>
          </w:p>
        </w:tc>
        <w:tc>
          <w:tcPr>
            <w:tcW w:type="dxa" w:w="4896"/>
            <w:shd w:val="clear" w:color="auto" w:fill="FFFFFF"/>
            <w:vAlign w:val="center"/>
          </w:tcPr>
          <w:p>
            <w:pPr>
              <w:jc w:val="center"/>
            </w:pPr>
            <w:r>
              <w:rPr>
                <w:rFonts w:ascii="Calibri" w:hAnsi="Calibri"/>
                <w:b w:val="0"/>
                <w:i w:val="0"/>
                <w:color w:val="2E2E2E"/>
                <w:sz w:val="20"/>
              </w:rPr>
              <w:t>Effective veto on all shareholder decisions</w:t>
            </w:r>
          </w:p>
        </w:tc>
      </w:tr>
      <w:tr>
        <w:tc>
          <w:tcPr>
            <w:tcW w:type="dxa" w:w="3168"/>
            <w:shd w:val="clear" w:color="auto" w:fill="EAF7EE"/>
            <w:vAlign w:val="center"/>
          </w:tcPr>
          <w:p>
            <w:r>
              <w:rPr>
                <w:rFonts w:ascii="Calibri" w:hAnsi="Calibri"/>
                <w:b/>
                <w:i w:val="0"/>
                <w:color w:val="2E2E2E"/>
                <w:sz w:val="20"/>
              </w:rPr>
              <w:t>Share Class</w:t>
            </w:r>
          </w:p>
        </w:tc>
        <w:tc>
          <w:tcPr>
            <w:tcW w:type="dxa" w:w="4032"/>
            <w:shd w:val="clear" w:color="auto" w:fill="EAF7EE"/>
            <w:vAlign w:val="center"/>
          </w:tcPr>
          <w:p>
            <w:pPr>
              <w:jc w:val="center"/>
            </w:pPr>
            <w:r>
              <w:rPr>
                <w:rFonts w:ascii="Calibri" w:hAnsi="Calibri"/>
                <w:b w:val="0"/>
                <w:i w:val="0"/>
                <w:color w:val="2E2E2E"/>
                <w:sz w:val="20"/>
              </w:rPr>
              <w:t>Class B = 45 votes/share; Class A = 1 vote</w:t>
            </w:r>
          </w:p>
        </w:tc>
        <w:tc>
          <w:tcPr>
            <w:tcW w:type="dxa" w:w="4896"/>
            <w:shd w:val="clear" w:color="auto" w:fill="EAF7EE"/>
            <w:vAlign w:val="center"/>
          </w:tcPr>
          <w:p>
            <w:pPr>
              <w:jc w:val="center"/>
            </w:pPr>
            <w:r>
              <w:rPr>
                <w:rFonts w:ascii="Calibri" w:hAnsi="Calibri"/>
                <w:b w:val="0"/>
                <w:i w:val="0"/>
                <w:color w:val="2E2E2E"/>
                <w:sz w:val="20"/>
              </w:rPr>
              <w:t>Standard dual-class structure for founder-led tech</w:t>
            </w:r>
          </w:p>
        </w:tc>
      </w:tr>
      <w:tr>
        <w:tc>
          <w:tcPr>
            <w:tcW w:type="dxa" w:w="3168"/>
            <w:shd w:val="clear" w:color="auto" w:fill="FFFFFF"/>
            <w:vAlign w:val="center"/>
          </w:tcPr>
          <w:p>
            <w:r>
              <w:rPr>
                <w:rFonts w:ascii="Calibri" w:hAnsi="Calibri"/>
                <w:b/>
                <w:i w:val="0"/>
                <w:color w:val="2E2E2E"/>
                <w:sz w:val="20"/>
              </w:rPr>
              <w:t>Board Composition</w:t>
            </w:r>
          </w:p>
        </w:tc>
        <w:tc>
          <w:tcPr>
            <w:tcW w:type="dxa" w:w="4032"/>
            <w:shd w:val="clear" w:color="auto" w:fill="FFFFFF"/>
            <w:vAlign w:val="center"/>
          </w:tcPr>
          <w:p>
            <w:pPr>
              <w:jc w:val="center"/>
            </w:pPr>
            <w:r>
              <w:rPr>
                <w:rFonts w:ascii="Calibri" w:hAnsi="Calibri"/>
                <w:b w:val="0"/>
                <w:i w:val="0"/>
                <w:color w:val="2E2E2E"/>
                <w:sz w:val="20"/>
              </w:rPr>
              <w:t>Anthony Tan chairs; leads nomination committee</w:t>
            </w:r>
          </w:p>
        </w:tc>
        <w:tc>
          <w:tcPr>
            <w:tcW w:type="dxa" w:w="4896"/>
            <w:shd w:val="clear" w:color="auto" w:fill="FFFFFF"/>
            <w:vAlign w:val="center"/>
          </w:tcPr>
          <w:p>
            <w:pPr>
              <w:jc w:val="center"/>
            </w:pPr>
            <w:r>
              <w:rPr>
                <w:rFonts w:ascii="Calibri" w:hAnsi="Calibri"/>
                <w:b w:val="0"/>
                <w:i w:val="0"/>
                <w:color w:val="2E2E2E"/>
                <w:sz w:val="20"/>
              </w:rPr>
              <w:t>Board accountability limited</w:t>
            </w:r>
          </w:p>
        </w:tc>
      </w:tr>
      <w:tr>
        <w:tc>
          <w:tcPr>
            <w:tcW w:type="dxa" w:w="3168"/>
            <w:shd w:val="clear" w:color="auto" w:fill="EAF7EE"/>
            <w:vAlign w:val="center"/>
          </w:tcPr>
          <w:p>
            <w:r>
              <w:rPr>
                <w:rFonts w:ascii="Calibri" w:hAnsi="Calibri"/>
                <w:b/>
                <w:i w:val="0"/>
                <w:color w:val="2E2E2E"/>
                <w:sz w:val="20"/>
              </w:rPr>
              <w:t>Board Refresh</w:t>
            </w:r>
          </w:p>
        </w:tc>
        <w:tc>
          <w:tcPr>
            <w:tcW w:type="dxa" w:w="4032"/>
            <w:shd w:val="clear" w:color="auto" w:fill="EAF7EE"/>
            <w:vAlign w:val="center"/>
          </w:tcPr>
          <w:p>
            <w:pPr>
              <w:jc w:val="center"/>
            </w:pPr>
            <w:r>
              <w:rPr>
                <w:rFonts w:ascii="Calibri" w:hAnsi="Calibri"/>
                <w:b w:val="0"/>
                <w:i w:val="0"/>
                <w:color w:val="2E2E2E"/>
                <w:sz w:val="20"/>
              </w:rPr>
              <w:t>Board refresh announced December 1, 2025</w:t>
            </w:r>
          </w:p>
        </w:tc>
        <w:tc>
          <w:tcPr>
            <w:tcW w:type="dxa" w:w="4896"/>
            <w:shd w:val="clear" w:color="auto" w:fill="EAF7EE"/>
            <w:vAlign w:val="center"/>
          </w:tcPr>
          <w:p>
            <w:pPr>
              <w:jc w:val="center"/>
            </w:pPr>
            <w:r>
              <w:rPr>
                <w:rFonts w:ascii="Calibri" w:hAnsi="Calibri"/>
                <w:b w:val="0"/>
                <w:i w:val="0"/>
                <w:color w:val="2E2E2E"/>
                <w:sz w:val="20"/>
              </w:rPr>
              <w:t>Fresh perspectives being added</w:t>
            </w:r>
          </w:p>
        </w:tc>
      </w:tr>
      <w:tr>
        <w:tc>
          <w:tcPr>
            <w:tcW w:type="dxa" w:w="3168"/>
            <w:shd w:val="clear" w:color="auto" w:fill="FFFFFF"/>
            <w:vAlign w:val="center"/>
          </w:tcPr>
          <w:p>
            <w:r>
              <w:rPr>
                <w:rFonts w:ascii="Calibri" w:hAnsi="Calibri"/>
                <w:b/>
                <w:i w:val="0"/>
                <w:color w:val="2E2E2E"/>
                <w:sz w:val="20"/>
              </w:rPr>
              <w:t>CFO Share Sale</w:t>
            </w:r>
          </w:p>
        </w:tc>
        <w:tc>
          <w:tcPr>
            <w:tcW w:type="dxa" w:w="4032"/>
            <w:shd w:val="clear" w:color="auto" w:fill="FFFFFF"/>
            <w:vAlign w:val="center"/>
          </w:tcPr>
          <w:p>
            <w:pPr>
              <w:jc w:val="center"/>
            </w:pPr>
            <w:r>
              <w:rPr>
                <w:rFonts w:ascii="Calibri" w:hAnsi="Calibri"/>
                <w:b w:val="0"/>
                <w:i w:val="0"/>
                <w:color w:val="2E2E2E"/>
                <w:sz w:val="20"/>
              </w:rPr>
              <w:t>Peter Oey pre-planned share sale disclosed 2025</w:t>
            </w:r>
          </w:p>
        </w:tc>
        <w:tc>
          <w:tcPr>
            <w:tcW w:type="dxa" w:w="4896"/>
            <w:shd w:val="clear" w:color="auto" w:fill="FFFFFF"/>
            <w:vAlign w:val="center"/>
          </w:tcPr>
          <w:p>
            <w:pPr>
              <w:jc w:val="center"/>
            </w:pPr>
            <w:r>
              <w:rPr>
                <w:rFonts w:ascii="Calibri" w:hAnsi="Calibri"/>
                <w:b w:val="0"/>
                <w:i w:val="0"/>
                <w:color w:val="2E2E2E"/>
                <w:sz w:val="20"/>
              </w:rPr>
              <w:t>Standard executive liquidity, not distress signal</w:t>
            </w:r>
          </w:p>
        </w:tc>
      </w:tr>
      <w:tr>
        <w:tc>
          <w:tcPr>
            <w:tcW w:type="dxa" w:w="3168"/>
            <w:shd w:val="clear" w:color="auto" w:fill="EAF7EE"/>
            <w:vAlign w:val="center"/>
          </w:tcPr>
          <w:p>
            <w:r>
              <w:rPr>
                <w:rFonts w:ascii="Calibri" w:hAnsi="Calibri"/>
                <w:b/>
                <w:i w:val="0"/>
                <w:color w:val="2E2E2E"/>
                <w:sz w:val="20"/>
              </w:rPr>
              <w:t>Buyback Programme</w:t>
            </w:r>
          </w:p>
        </w:tc>
        <w:tc>
          <w:tcPr>
            <w:tcW w:type="dxa" w:w="4032"/>
            <w:shd w:val="clear" w:color="auto" w:fill="EAF7EE"/>
            <w:vAlign w:val="center"/>
          </w:tcPr>
          <w:p>
            <w:pPr>
              <w:jc w:val="center"/>
            </w:pPr>
            <w:r>
              <w:rPr>
                <w:rFonts w:ascii="Calibri" w:hAnsi="Calibri"/>
                <w:b w:val="0"/>
                <w:i w:val="0"/>
                <w:color w:val="2E2E2E"/>
                <w:sz w:val="20"/>
              </w:rPr>
              <w:t>Two $500M programmes (2024 and 2025)</w:t>
            </w:r>
          </w:p>
        </w:tc>
        <w:tc>
          <w:tcPr>
            <w:tcW w:type="dxa" w:w="4896"/>
            <w:shd w:val="clear" w:color="auto" w:fill="EAF7EE"/>
            <w:vAlign w:val="center"/>
          </w:tcPr>
          <w:p>
            <w:pPr>
              <w:jc w:val="center"/>
            </w:pPr>
            <w:r>
              <w:rPr>
                <w:rFonts w:ascii="Calibri" w:hAnsi="Calibri"/>
                <w:b w:val="0"/>
                <w:i w:val="0"/>
                <w:color w:val="2E2E2E"/>
                <w:sz w:val="20"/>
              </w:rPr>
              <w:t>Pro-shareholder capital allocation signal</w:t>
            </w:r>
          </w:p>
        </w:tc>
      </w:tr>
      <w:tr>
        <w:tc>
          <w:tcPr>
            <w:tcW w:type="dxa" w:w="3168"/>
            <w:shd w:val="clear" w:color="auto" w:fill="FFFFFF"/>
            <w:vAlign w:val="center"/>
          </w:tcPr>
          <w:p>
            <w:r>
              <w:rPr>
                <w:rFonts w:ascii="Calibri" w:hAnsi="Calibri"/>
                <w:b/>
                <w:i w:val="0"/>
                <w:color w:val="2E2E2E"/>
                <w:sz w:val="20"/>
              </w:rPr>
              <w:t>2028 EBITDA Target</w:t>
            </w:r>
          </w:p>
        </w:tc>
        <w:tc>
          <w:tcPr>
            <w:tcW w:type="dxa" w:w="4032"/>
            <w:shd w:val="clear" w:color="auto" w:fill="FFFFFF"/>
            <w:vAlign w:val="center"/>
          </w:tcPr>
          <w:p>
            <w:pPr>
              <w:jc w:val="center"/>
            </w:pPr>
            <w:r>
              <w:rPr>
                <w:rFonts w:ascii="Calibri" w:hAnsi="Calibri"/>
                <w:b w:val="0"/>
                <w:i w:val="0"/>
                <w:color w:val="2E2E2E"/>
                <w:sz w:val="20"/>
              </w:rPr>
              <w:t>$1.5B with 80% FCF conversion</w:t>
            </w:r>
          </w:p>
        </w:tc>
        <w:tc>
          <w:tcPr>
            <w:tcW w:type="dxa" w:w="4896"/>
            <w:shd w:val="clear" w:color="auto" w:fill="FFFFFF"/>
            <w:vAlign w:val="center"/>
          </w:tcPr>
          <w:p>
            <w:pPr>
              <w:jc w:val="center"/>
            </w:pPr>
            <w:r>
              <w:rPr>
                <w:rFonts w:ascii="Calibri" w:hAnsi="Calibri"/>
                <w:b w:val="0"/>
                <w:i w:val="0"/>
                <w:color w:val="2E2E2E"/>
                <w:sz w:val="20"/>
              </w:rPr>
              <w:t>Management commitment to profitability</w:t>
            </w:r>
          </w:p>
        </w:tc>
      </w:tr>
    </w:tbl>
    <w:p>
      <w:pPr>
        <w:spacing w:before="0" w:after="120"/>
      </w:pPr>
    </w:p>
    <w:p>
      <w:pPr>
        <w:spacing w:before="200" w:after="60"/>
      </w:pPr>
      <w:r>
        <w:rPr>
          <w:rFonts w:ascii="Calibri" w:hAnsi="Calibri"/>
          <w:b/>
          <w:i w:val="0"/>
          <w:color w:val="2E2E2E"/>
          <w:sz w:val="24"/>
        </w:rPr>
        <w:t>Capital Allocation Track Record</w:t>
      </w:r>
    </w:p>
    <w:p>
      <w:pPr>
        <w:spacing w:before="0" w:after="80"/>
      </w:pPr>
      <w:r>
        <w:rPr>
          <w:rFonts w:ascii="Calibri" w:hAnsi="Calibri"/>
          <w:b w:val="0"/>
          <w:i w:val="0"/>
          <w:color w:val="2E2E2E"/>
          <w:sz w:val="21"/>
        </w:rPr>
        <w:t>Anthony Tan's capital allocation record shows meaningful improvement since the 2021 SPAC listing. The company has: (1) drastically reduced cash burn through operational discipline — moving from nearly $(1B) EBITDA loss to $500M EBITDA profit in four years; (2) reduced debt from $2.1B to ~$350M while growing the cash pile; (3) launched and completed a $500M share buyback programme; (4) authorised a second $500M buyback on the back of first profitable year; and (5) invested selectively in high-return growth areas (GrabFin, GrabAds, Infermove AI). This improved discipline addresses prior market concerns about the sustainability of the growth-at-all-costs playbook.</w:t>
      </w:r>
    </w:p>
    <w:p>
      <w:r>
        <w:br w:type="page"/>
      </w:r>
    </w:p>
    <w:p>
      <w:pPr>
        <w:spacing w:before="280" w:after="80"/>
        <w:pBdr>
          <w:bottom w:val="single" w:sz="6" w:space="1" w:color="00B14F"/>
        </w:pBdr>
      </w:pPr>
      <w:r>
        <w:rPr>
          <w:rFonts w:ascii="Calibri" w:hAnsi="Calibri"/>
          <w:b/>
          <w:i w:val="0"/>
          <w:color w:val="00B14F"/>
          <w:sz w:val="30"/>
        </w:rPr>
        <w:t>PHASE 6 — RISK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448"/>
            <w:shd w:val="clear" w:color="auto" w:fill="1A7A3F"/>
            <w:vAlign w:val="center"/>
          </w:tcPr>
          <w:p>
            <w:pPr>
              <w:jc w:val="center"/>
            </w:pPr>
            <w:r>
              <w:rPr>
                <w:rFonts w:ascii="Calibri" w:hAnsi="Calibri"/>
                <w:b/>
                <w:i w:val="0"/>
                <w:color w:val="FFFFFF"/>
                <w:sz w:val="20"/>
              </w:rPr>
              <w:t>Risk Category</w:t>
            </w:r>
          </w:p>
        </w:tc>
        <w:tc>
          <w:tcPr>
            <w:tcW w:type="dxa" w:w="3600"/>
            <w:shd w:val="clear" w:color="auto" w:fill="1A7A3F"/>
            <w:vAlign w:val="center"/>
          </w:tcPr>
          <w:p>
            <w:pPr>
              <w:jc w:val="center"/>
            </w:pPr>
            <w:r>
              <w:rPr>
                <w:rFonts w:ascii="Calibri" w:hAnsi="Calibri"/>
                <w:b/>
                <w:i w:val="0"/>
                <w:color w:val="FFFFFF"/>
                <w:sz w:val="20"/>
              </w:rPr>
              <w:t>Description</w:t>
            </w:r>
          </w:p>
        </w:tc>
        <w:tc>
          <w:tcPr>
            <w:tcW w:type="dxa" w:w="1296"/>
            <w:shd w:val="clear" w:color="auto" w:fill="1A7A3F"/>
            <w:vAlign w:val="center"/>
          </w:tcPr>
          <w:p>
            <w:pPr>
              <w:jc w:val="center"/>
            </w:pPr>
            <w:r>
              <w:rPr>
                <w:rFonts w:ascii="Calibri" w:hAnsi="Calibri"/>
                <w:b/>
                <w:i w:val="0"/>
                <w:color w:val="FFFFFF"/>
                <w:sz w:val="20"/>
              </w:rPr>
              <w:t>Probability</w:t>
            </w:r>
          </w:p>
        </w:tc>
        <w:tc>
          <w:tcPr>
            <w:tcW w:type="dxa" w:w="1152"/>
            <w:shd w:val="clear" w:color="auto" w:fill="1A7A3F"/>
            <w:vAlign w:val="center"/>
          </w:tcPr>
          <w:p>
            <w:pPr>
              <w:jc w:val="center"/>
            </w:pPr>
            <w:r>
              <w:rPr>
                <w:rFonts w:ascii="Calibri" w:hAnsi="Calibri"/>
                <w:b/>
                <w:i w:val="0"/>
                <w:color w:val="FFFFFF"/>
                <w:sz w:val="20"/>
              </w:rPr>
              <w:t>Impact</w:t>
            </w:r>
          </w:p>
        </w:tc>
        <w:tc>
          <w:tcPr>
            <w:tcW w:type="dxa" w:w="3600"/>
            <w:shd w:val="clear" w:color="auto" w:fill="1A7A3F"/>
            <w:vAlign w:val="center"/>
          </w:tcPr>
          <w:p>
            <w:pPr>
              <w:jc w:val="center"/>
            </w:pPr>
            <w:r>
              <w:rPr>
                <w:rFonts w:ascii="Calibri" w:hAnsi="Calibri"/>
                <w:b/>
                <w:i w:val="0"/>
                <w:color w:val="FFFFFF"/>
                <w:sz w:val="20"/>
              </w:rPr>
              <w:t>Mitigation</w:t>
            </w:r>
          </w:p>
        </w:tc>
      </w:tr>
      <w:tr>
        <w:tc>
          <w:tcPr>
            <w:tcW w:type="dxa" w:w="2448"/>
            <w:shd w:val="clear" w:color="auto" w:fill="EAF7EE"/>
            <w:vAlign w:val="center"/>
          </w:tcPr>
          <w:p>
            <w:r>
              <w:rPr>
                <w:rFonts w:ascii="Calibri" w:hAnsi="Calibri"/>
                <w:b/>
                <w:i w:val="0"/>
                <w:color w:val="2E2E2E"/>
                <w:sz w:val="20"/>
              </w:rPr>
              <w:t>Competition / Incentive Wars</w:t>
            </w:r>
          </w:p>
        </w:tc>
        <w:tc>
          <w:tcPr>
            <w:tcW w:type="dxa" w:w="3600"/>
            <w:shd w:val="clear" w:color="auto" w:fill="EAF7EE"/>
            <w:vAlign w:val="center"/>
          </w:tcPr>
          <w:p>
            <w:pPr>
              <w:jc w:val="center"/>
            </w:pPr>
            <w:r>
              <w:rPr>
                <w:rFonts w:ascii="Calibri" w:hAnsi="Calibri"/>
                <w:b w:val="0"/>
                <w:i w:val="0"/>
                <w:color w:val="2E2E2E"/>
                <w:sz w:val="20"/>
              </w:rPr>
              <w:t>ShopeeFood and Gojek intensifying promotions, driving incentive ratios higher and pressuring margins</w:t>
            </w:r>
          </w:p>
        </w:tc>
        <w:tc>
          <w:tcPr>
            <w:tcW w:type="dxa" w:w="1296"/>
            <w:shd w:val="clear" w:color="auto" w:fill="EAF7EE"/>
            <w:vAlign w:val="center"/>
          </w:tcPr>
          <w:p>
            <w:pPr>
              <w:jc w:val="center"/>
            </w:pPr>
            <w:r>
              <w:rPr>
                <w:rFonts w:ascii="Calibri" w:hAnsi="Calibri"/>
                <w:b w:val="0"/>
                <w:i w:val="0"/>
                <w:color w:val="2E2E2E"/>
                <w:sz w:val="20"/>
              </w:rPr>
              <w:t>HIGH</w:t>
            </w:r>
          </w:p>
        </w:tc>
        <w:tc>
          <w:tcPr>
            <w:tcW w:type="dxa" w:w="1152"/>
            <w:shd w:val="clear" w:color="auto" w:fill="EAF7EE"/>
            <w:vAlign w:val="center"/>
          </w:tcPr>
          <w:p>
            <w:pPr>
              <w:jc w:val="center"/>
            </w:pPr>
            <w:r>
              <w:rPr>
                <w:rFonts w:ascii="Calibri" w:hAnsi="Calibri"/>
                <w:b w:val="0"/>
                <w:i w:val="0"/>
                <w:color w:val="2E2E2E"/>
                <w:sz w:val="20"/>
              </w:rPr>
              <w:t>MEDIUM</w:t>
            </w:r>
          </w:p>
        </w:tc>
        <w:tc>
          <w:tcPr>
            <w:tcW w:type="dxa" w:w="3600"/>
            <w:shd w:val="clear" w:color="auto" w:fill="EAF7EE"/>
            <w:vAlign w:val="center"/>
          </w:tcPr>
          <w:p>
            <w:pPr>
              <w:jc w:val="center"/>
            </w:pPr>
            <w:r>
              <w:rPr>
                <w:rFonts w:ascii="Calibri" w:hAnsi="Calibri"/>
                <w:b w:val="0"/>
                <w:i w:val="0"/>
                <w:color w:val="2E2E2E"/>
                <w:sz w:val="20"/>
              </w:rPr>
              <w:t>Grab's scale advantages and multi-product ecosystem reduce dependence on incentives; superior unit economics at scale</w:t>
            </w:r>
          </w:p>
        </w:tc>
      </w:tr>
      <w:tr>
        <w:tc>
          <w:tcPr>
            <w:tcW w:type="dxa" w:w="2448"/>
            <w:shd w:val="clear" w:color="auto" w:fill="FFFFFF"/>
            <w:vAlign w:val="center"/>
          </w:tcPr>
          <w:p>
            <w:r>
              <w:rPr>
                <w:rFonts w:ascii="Calibri" w:hAnsi="Calibri"/>
                <w:b/>
                <w:i w:val="0"/>
                <w:color w:val="2E2E2E"/>
                <w:sz w:val="20"/>
              </w:rPr>
              <w:t>Regulatory / Digital Banking</w:t>
            </w:r>
          </w:p>
        </w:tc>
        <w:tc>
          <w:tcPr>
            <w:tcW w:type="dxa" w:w="3600"/>
            <w:shd w:val="clear" w:color="auto" w:fill="FFFFFF"/>
            <w:vAlign w:val="center"/>
          </w:tcPr>
          <w:p>
            <w:pPr>
              <w:jc w:val="center"/>
            </w:pPr>
            <w:r>
              <w:rPr>
                <w:rFonts w:ascii="Calibri" w:hAnsi="Calibri"/>
                <w:b w:val="0"/>
                <w:i w:val="0"/>
                <w:color w:val="2E2E2E"/>
                <w:sz w:val="20"/>
              </w:rPr>
              <w:t>SEA governments tightening rules on ride-hailing (driver classification), e-wallets, or digital banks</w:t>
            </w:r>
          </w:p>
        </w:tc>
        <w:tc>
          <w:tcPr>
            <w:tcW w:type="dxa" w:w="1296"/>
            <w:shd w:val="clear" w:color="auto" w:fill="FFFFFF"/>
            <w:vAlign w:val="center"/>
          </w:tcPr>
          <w:p>
            <w:pPr>
              <w:jc w:val="center"/>
            </w:pPr>
            <w:r>
              <w:rPr>
                <w:rFonts w:ascii="Calibri" w:hAnsi="Calibri"/>
                <w:b w:val="0"/>
                <w:i w:val="0"/>
                <w:color w:val="2E2E2E"/>
                <w:sz w:val="20"/>
              </w:rPr>
              <w:t>MEDIUM</w:t>
            </w:r>
          </w:p>
        </w:tc>
        <w:tc>
          <w:tcPr>
            <w:tcW w:type="dxa" w:w="1152"/>
            <w:shd w:val="clear" w:color="auto" w:fill="FFFFFF"/>
            <w:vAlign w:val="center"/>
          </w:tcPr>
          <w:p>
            <w:pPr>
              <w:jc w:val="center"/>
            </w:pPr>
            <w:r>
              <w:rPr>
                <w:rFonts w:ascii="Calibri" w:hAnsi="Calibri"/>
                <w:b w:val="0"/>
                <w:i w:val="0"/>
                <w:color w:val="2E2E2E"/>
                <w:sz w:val="20"/>
              </w:rPr>
              <w:t>MEDIUM</w:t>
            </w:r>
          </w:p>
        </w:tc>
        <w:tc>
          <w:tcPr>
            <w:tcW w:type="dxa" w:w="3600"/>
            <w:shd w:val="clear" w:color="auto" w:fill="FFFFFF"/>
            <w:vAlign w:val="center"/>
          </w:tcPr>
          <w:p>
            <w:pPr>
              <w:jc w:val="center"/>
            </w:pPr>
            <w:r>
              <w:rPr>
                <w:rFonts w:ascii="Calibri" w:hAnsi="Calibri"/>
                <w:b w:val="0"/>
                <w:i w:val="0"/>
                <w:color w:val="2E2E2E"/>
                <w:sz w:val="20"/>
              </w:rPr>
              <w:t>Grab proactively engages regulators; regulatory licences already secured in SG and MY create entrenched positions</w:t>
            </w:r>
          </w:p>
        </w:tc>
      </w:tr>
      <w:tr>
        <w:tc>
          <w:tcPr>
            <w:tcW w:type="dxa" w:w="2448"/>
            <w:shd w:val="clear" w:color="auto" w:fill="EAF7EE"/>
            <w:vAlign w:val="center"/>
          </w:tcPr>
          <w:p>
            <w:r>
              <w:rPr>
                <w:rFonts w:ascii="Calibri" w:hAnsi="Calibri"/>
                <w:b/>
                <w:i w:val="0"/>
                <w:color w:val="2E2E2E"/>
                <w:sz w:val="20"/>
              </w:rPr>
              <w:t>GoTo Merger Antitrust Block</w:t>
            </w:r>
          </w:p>
        </w:tc>
        <w:tc>
          <w:tcPr>
            <w:tcW w:type="dxa" w:w="3600"/>
            <w:shd w:val="clear" w:color="auto" w:fill="EAF7EE"/>
            <w:vAlign w:val="center"/>
          </w:tcPr>
          <w:p>
            <w:pPr>
              <w:jc w:val="center"/>
            </w:pPr>
            <w:r>
              <w:rPr>
                <w:rFonts w:ascii="Calibri" w:hAnsi="Calibri"/>
                <w:b w:val="0"/>
                <w:i w:val="0"/>
                <w:color w:val="2E2E2E"/>
                <w:sz w:val="20"/>
              </w:rPr>
              <w:t>KPPU or other SEA regulators blocking a GoTo deal, preserving competition in Indonesia</w:t>
            </w:r>
          </w:p>
        </w:tc>
        <w:tc>
          <w:tcPr>
            <w:tcW w:type="dxa" w:w="1296"/>
            <w:shd w:val="clear" w:color="auto" w:fill="EAF7EE"/>
            <w:vAlign w:val="center"/>
          </w:tcPr>
          <w:p>
            <w:pPr>
              <w:jc w:val="center"/>
            </w:pPr>
            <w:r>
              <w:rPr>
                <w:rFonts w:ascii="Calibri" w:hAnsi="Calibri"/>
                <w:b w:val="0"/>
                <w:i w:val="0"/>
                <w:color w:val="2E2E2E"/>
                <w:sz w:val="20"/>
              </w:rPr>
              <w:t>MEDIUM</w:t>
            </w:r>
          </w:p>
        </w:tc>
        <w:tc>
          <w:tcPr>
            <w:tcW w:type="dxa" w:w="1152"/>
            <w:shd w:val="clear" w:color="auto" w:fill="EAF7EE"/>
            <w:vAlign w:val="center"/>
          </w:tcPr>
          <w:p>
            <w:pPr>
              <w:jc w:val="center"/>
            </w:pPr>
            <w:r>
              <w:rPr>
                <w:rFonts w:ascii="Calibri" w:hAnsi="Calibri"/>
                <w:b w:val="0"/>
                <w:i w:val="0"/>
                <w:color w:val="2E2E2E"/>
                <w:sz w:val="20"/>
              </w:rPr>
              <w:t>LOW–MEDIUM</w:t>
            </w:r>
          </w:p>
        </w:tc>
        <w:tc>
          <w:tcPr>
            <w:tcW w:type="dxa" w:w="3600"/>
            <w:shd w:val="clear" w:color="auto" w:fill="EAF7EE"/>
            <w:vAlign w:val="center"/>
          </w:tcPr>
          <w:p>
            <w:pPr>
              <w:jc w:val="center"/>
            </w:pPr>
            <w:r>
              <w:rPr>
                <w:rFonts w:ascii="Calibri" w:hAnsi="Calibri"/>
                <w:b w:val="0"/>
                <w:i w:val="0"/>
                <w:color w:val="2E2E2E"/>
                <w:sz w:val="20"/>
              </w:rPr>
              <w:t>Grab's current profitability path does not require the merger; it's an upside catalyst, not a base case</w:t>
            </w:r>
          </w:p>
        </w:tc>
      </w:tr>
      <w:tr>
        <w:tc>
          <w:tcPr>
            <w:tcW w:type="dxa" w:w="2448"/>
            <w:shd w:val="clear" w:color="auto" w:fill="FFFFFF"/>
            <w:vAlign w:val="center"/>
          </w:tcPr>
          <w:p>
            <w:r>
              <w:rPr>
                <w:rFonts w:ascii="Calibri" w:hAnsi="Calibri"/>
                <w:b/>
                <w:i w:val="0"/>
                <w:color w:val="2E2E2E"/>
                <w:sz w:val="20"/>
              </w:rPr>
              <w:t>GAAP Profitability Sustainability</w:t>
            </w:r>
          </w:p>
        </w:tc>
        <w:tc>
          <w:tcPr>
            <w:tcW w:type="dxa" w:w="3600"/>
            <w:shd w:val="clear" w:color="auto" w:fill="FFFFFF"/>
            <w:vAlign w:val="center"/>
          </w:tcPr>
          <w:p>
            <w:pPr>
              <w:jc w:val="center"/>
            </w:pPr>
            <w:r>
              <w:rPr>
                <w:rFonts w:ascii="Calibri" w:hAnsi="Calibri"/>
                <w:b w:val="0"/>
                <w:i w:val="0"/>
                <w:color w:val="2E2E2E"/>
                <w:sz w:val="20"/>
              </w:rPr>
              <w:t>Competitive pressure re-escalates, pushing Grab back to net losses</w:t>
            </w:r>
          </w:p>
        </w:tc>
        <w:tc>
          <w:tcPr>
            <w:tcW w:type="dxa" w:w="1296"/>
            <w:shd w:val="clear" w:color="auto" w:fill="FFFFFF"/>
            <w:vAlign w:val="center"/>
          </w:tcPr>
          <w:p>
            <w:pPr>
              <w:jc w:val="center"/>
            </w:pPr>
            <w:r>
              <w:rPr>
                <w:rFonts w:ascii="Calibri" w:hAnsi="Calibri"/>
                <w:b w:val="0"/>
                <w:i w:val="0"/>
                <w:color w:val="2E2E2E"/>
                <w:sz w:val="20"/>
              </w:rPr>
              <w:t>LOW</w:t>
            </w:r>
          </w:p>
        </w:tc>
        <w:tc>
          <w:tcPr>
            <w:tcW w:type="dxa" w:w="1152"/>
            <w:shd w:val="clear" w:color="auto" w:fill="FFFFFF"/>
            <w:vAlign w:val="center"/>
          </w:tcPr>
          <w:p>
            <w:pPr>
              <w:jc w:val="center"/>
            </w:pPr>
            <w:r>
              <w:rPr>
                <w:rFonts w:ascii="Calibri" w:hAnsi="Calibri"/>
                <w:b w:val="0"/>
                <w:i w:val="0"/>
                <w:color w:val="2E2E2E"/>
                <w:sz w:val="20"/>
              </w:rPr>
              <w:t>HIGH</w:t>
            </w:r>
          </w:p>
        </w:tc>
        <w:tc>
          <w:tcPr>
            <w:tcW w:type="dxa" w:w="3600"/>
            <w:shd w:val="clear" w:color="auto" w:fill="FFFFFF"/>
            <w:vAlign w:val="center"/>
          </w:tcPr>
          <w:p>
            <w:pPr>
              <w:jc w:val="center"/>
            </w:pPr>
            <w:r>
              <w:rPr>
                <w:rFonts w:ascii="Calibri" w:hAnsi="Calibri"/>
                <w:b w:val="0"/>
                <w:i w:val="0"/>
                <w:color w:val="2E2E2E"/>
                <w:sz w:val="20"/>
              </w:rPr>
              <w:t>FY2025 net income of $200M with improving margins; 15 consecutive quarters of EBITDA growth</w:t>
            </w:r>
          </w:p>
        </w:tc>
      </w:tr>
      <w:tr>
        <w:tc>
          <w:tcPr>
            <w:tcW w:type="dxa" w:w="2448"/>
            <w:shd w:val="clear" w:color="auto" w:fill="EAF7EE"/>
            <w:vAlign w:val="center"/>
          </w:tcPr>
          <w:p>
            <w:r>
              <w:rPr>
                <w:rFonts w:ascii="Calibri" w:hAnsi="Calibri"/>
                <w:b/>
                <w:i w:val="0"/>
                <w:color w:val="2E2E2E"/>
                <w:sz w:val="20"/>
              </w:rPr>
              <w:t>Currency Risk</w:t>
            </w:r>
          </w:p>
        </w:tc>
        <w:tc>
          <w:tcPr>
            <w:tcW w:type="dxa" w:w="3600"/>
            <w:shd w:val="clear" w:color="auto" w:fill="EAF7EE"/>
            <w:vAlign w:val="center"/>
          </w:tcPr>
          <w:p>
            <w:pPr>
              <w:jc w:val="center"/>
            </w:pPr>
            <w:r>
              <w:rPr>
                <w:rFonts w:ascii="Calibri" w:hAnsi="Calibri"/>
                <w:b w:val="0"/>
                <w:i w:val="0"/>
                <w:color w:val="2E2E2E"/>
                <w:sz w:val="20"/>
              </w:rPr>
              <w:t>Multi-country operations in SGD, IDR, MYR, PHP, THB, VND; USD reporting creates FX volatility</w:t>
            </w:r>
          </w:p>
        </w:tc>
        <w:tc>
          <w:tcPr>
            <w:tcW w:type="dxa" w:w="1296"/>
            <w:shd w:val="clear" w:color="auto" w:fill="EAF7EE"/>
            <w:vAlign w:val="center"/>
          </w:tcPr>
          <w:p>
            <w:pPr>
              <w:jc w:val="center"/>
            </w:pPr>
            <w:r>
              <w:rPr>
                <w:rFonts w:ascii="Calibri" w:hAnsi="Calibri"/>
                <w:b w:val="0"/>
                <w:i w:val="0"/>
                <w:color w:val="2E2E2E"/>
                <w:sz w:val="20"/>
              </w:rPr>
              <w:t>MEDIUM</w:t>
            </w:r>
          </w:p>
        </w:tc>
        <w:tc>
          <w:tcPr>
            <w:tcW w:type="dxa" w:w="1152"/>
            <w:shd w:val="clear" w:color="auto" w:fill="EAF7EE"/>
            <w:vAlign w:val="center"/>
          </w:tcPr>
          <w:p>
            <w:pPr>
              <w:jc w:val="center"/>
            </w:pPr>
            <w:r>
              <w:rPr>
                <w:rFonts w:ascii="Calibri" w:hAnsi="Calibri"/>
                <w:b w:val="0"/>
                <w:i w:val="0"/>
                <w:color w:val="2E2E2E"/>
                <w:sz w:val="20"/>
              </w:rPr>
              <w:t>MEDIUM</w:t>
            </w:r>
          </w:p>
        </w:tc>
        <w:tc>
          <w:tcPr>
            <w:tcW w:type="dxa" w:w="3600"/>
            <w:shd w:val="clear" w:color="auto" w:fill="EAF7EE"/>
            <w:vAlign w:val="center"/>
          </w:tcPr>
          <w:p>
            <w:pPr>
              <w:jc w:val="center"/>
            </w:pPr>
            <w:r>
              <w:rPr>
                <w:rFonts w:ascii="Calibri" w:hAnsi="Calibri"/>
                <w:b w:val="0"/>
                <w:i w:val="0"/>
                <w:color w:val="2E2E2E"/>
                <w:sz w:val="20"/>
              </w:rPr>
              <w:t>Natural hedging via USD-denominated funding; management monitors constant-currency growth</w:t>
            </w:r>
          </w:p>
        </w:tc>
      </w:tr>
      <w:tr>
        <w:tc>
          <w:tcPr>
            <w:tcW w:type="dxa" w:w="2448"/>
            <w:shd w:val="clear" w:color="auto" w:fill="FFFFFF"/>
            <w:vAlign w:val="center"/>
          </w:tcPr>
          <w:p>
            <w:r>
              <w:rPr>
                <w:rFonts w:ascii="Calibri" w:hAnsi="Calibri"/>
                <w:b/>
                <w:i w:val="0"/>
                <w:color w:val="2E2E2E"/>
                <w:sz w:val="20"/>
              </w:rPr>
              <w:t>Dual-Class Governance</w:t>
            </w:r>
          </w:p>
        </w:tc>
        <w:tc>
          <w:tcPr>
            <w:tcW w:type="dxa" w:w="3600"/>
            <w:shd w:val="clear" w:color="auto" w:fill="FFFFFF"/>
            <w:vAlign w:val="center"/>
          </w:tcPr>
          <w:p>
            <w:pPr>
              <w:jc w:val="center"/>
            </w:pPr>
            <w:r>
              <w:rPr>
                <w:rFonts w:ascii="Calibri" w:hAnsi="Calibri"/>
                <w:b w:val="0"/>
                <w:i w:val="0"/>
                <w:color w:val="2E2E2E"/>
                <w:sz w:val="20"/>
              </w:rPr>
              <w:t>Founder control limits shareholder recourse; potential for value-destructive capital decisions</w:t>
            </w:r>
          </w:p>
        </w:tc>
        <w:tc>
          <w:tcPr>
            <w:tcW w:type="dxa" w:w="1296"/>
            <w:shd w:val="clear" w:color="auto" w:fill="FFFFFF"/>
            <w:vAlign w:val="center"/>
          </w:tcPr>
          <w:p>
            <w:pPr>
              <w:jc w:val="center"/>
            </w:pPr>
            <w:r>
              <w:rPr>
                <w:rFonts w:ascii="Calibri" w:hAnsi="Calibri"/>
                <w:b w:val="0"/>
                <w:i w:val="0"/>
                <w:color w:val="2E2E2E"/>
                <w:sz w:val="20"/>
              </w:rPr>
              <w:t>LOW</w:t>
            </w:r>
          </w:p>
        </w:tc>
        <w:tc>
          <w:tcPr>
            <w:tcW w:type="dxa" w:w="1152"/>
            <w:shd w:val="clear" w:color="auto" w:fill="FFFFFF"/>
            <w:vAlign w:val="center"/>
          </w:tcPr>
          <w:p>
            <w:pPr>
              <w:jc w:val="center"/>
            </w:pPr>
            <w:r>
              <w:rPr>
                <w:rFonts w:ascii="Calibri" w:hAnsi="Calibri"/>
                <w:b w:val="0"/>
                <w:i w:val="0"/>
                <w:color w:val="2E2E2E"/>
                <w:sz w:val="20"/>
              </w:rPr>
              <w:t>MEDIUM</w:t>
            </w:r>
          </w:p>
        </w:tc>
        <w:tc>
          <w:tcPr>
            <w:tcW w:type="dxa" w:w="3600"/>
            <w:shd w:val="clear" w:color="auto" w:fill="FFFFFF"/>
            <w:vAlign w:val="center"/>
          </w:tcPr>
          <w:p>
            <w:pPr>
              <w:jc w:val="center"/>
            </w:pPr>
            <w:r>
              <w:rPr>
                <w:rFonts w:ascii="Calibri" w:hAnsi="Calibri"/>
                <w:b w:val="0"/>
                <w:i w:val="0"/>
                <w:color w:val="2E2E2E"/>
                <w:sz w:val="20"/>
              </w:rPr>
              <w:t>Track record of improving capital discipline; buyback programmes demonstrate shareholder-friendly intent</w:t>
            </w:r>
          </w:p>
        </w:tc>
      </w:tr>
      <w:tr>
        <w:tc>
          <w:tcPr>
            <w:tcW w:type="dxa" w:w="2448"/>
            <w:shd w:val="clear" w:color="auto" w:fill="EAF7EE"/>
            <w:vAlign w:val="center"/>
          </w:tcPr>
          <w:p>
            <w:r>
              <w:rPr>
                <w:rFonts w:ascii="Calibri" w:hAnsi="Calibri"/>
                <w:b/>
                <w:i w:val="0"/>
                <w:color w:val="2E2E2E"/>
                <w:sz w:val="20"/>
              </w:rPr>
              <w:t>US Geopolitics / NASDAQ Listing</w:t>
            </w:r>
          </w:p>
        </w:tc>
        <w:tc>
          <w:tcPr>
            <w:tcW w:type="dxa" w:w="3600"/>
            <w:shd w:val="clear" w:color="auto" w:fill="EAF7EE"/>
            <w:vAlign w:val="center"/>
          </w:tcPr>
          <w:p>
            <w:pPr>
              <w:jc w:val="center"/>
            </w:pPr>
            <w:r>
              <w:rPr>
                <w:rFonts w:ascii="Calibri" w:hAnsi="Calibri"/>
                <w:b w:val="0"/>
                <w:i w:val="0"/>
                <w:color w:val="2E2E2E"/>
                <w:sz w:val="20"/>
              </w:rPr>
              <w:t>US-China-ASEAN tensions or delisting risks for Cayman-registered entities</w:t>
            </w:r>
          </w:p>
        </w:tc>
        <w:tc>
          <w:tcPr>
            <w:tcW w:type="dxa" w:w="1296"/>
            <w:shd w:val="clear" w:color="auto" w:fill="EAF7EE"/>
            <w:vAlign w:val="center"/>
          </w:tcPr>
          <w:p>
            <w:pPr>
              <w:jc w:val="center"/>
            </w:pPr>
            <w:r>
              <w:rPr>
                <w:rFonts w:ascii="Calibri" w:hAnsi="Calibri"/>
                <w:b w:val="0"/>
                <w:i w:val="0"/>
                <w:color w:val="2E2E2E"/>
                <w:sz w:val="20"/>
              </w:rPr>
              <w:t>LOW</w:t>
            </w:r>
          </w:p>
        </w:tc>
        <w:tc>
          <w:tcPr>
            <w:tcW w:type="dxa" w:w="1152"/>
            <w:shd w:val="clear" w:color="auto" w:fill="EAF7EE"/>
            <w:vAlign w:val="center"/>
          </w:tcPr>
          <w:p>
            <w:pPr>
              <w:jc w:val="center"/>
            </w:pPr>
            <w:r>
              <w:rPr>
                <w:rFonts w:ascii="Calibri" w:hAnsi="Calibri"/>
                <w:b w:val="0"/>
                <w:i w:val="0"/>
                <w:color w:val="2E2E2E"/>
                <w:sz w:val="20"/>
              </w:rPr>
              <w:t>HIGH</w:t>
            </w:r>
          </w:p>
        </w:tc>
        <w:tc>
          <w:tcPr>
            <w:tcW w:type="dxa" w:w="3600"/>
            <w:shd w:val="clear" w:color="auto" w:fill="EAF7EE"/>
            <w:vAlign w:val="center"/>
          </w:tcPr>
          <w:p>
            <w:pPr>
              <w:jc w:val="center"/>
            </w:pPr>
            <w:r>
              <w:rPr>
                <w:rFonts w:ascii="Calibri" w:hAnsi="Calibri"/>
                <w:b w:val="0"/>
                <w:i w:val="0"/>
                <w:color w:val="2E2E2E"/>
                <w:sz w:val="20"/>
              </w:rPr>
              <w:t>Grab is a Southeast Asian company with no Chinese government ownership; lower risk than Chinese ADRs</w:t>
            </w:r>
          </w:p>
        </w:tc>
      </w:tr>
      <w:tr>
        <w:tc>
          <w:tcPr>
            <w:tcW w:type="dxa" w:w="2448"/>
            <w:shd w:val="clear" w:color="auto" w:fill="FFFFFF"/>
            <w:vAlign w:val="center"/>
          </w:tcPr>
          <w:p>
            <w:r>
              <w:rPr>
                <w:rFonts w:ascii="Calibri" w:hAnsi="Calibri"/>
                <w:b/>
                <w:i w:val="0"/>
                <w:color w:val="2E2E2E"/>
                <w:sz w:val="20"/>
              </w:rPr>
              <w:t>GrabFin Credit Quality</w:t>
            </w:r>
          </w:p>
        </w:tc>
        <w:tc>
          <w:tcPr>
            <w:tcW w:type="dxa" w:w="3600"/>
            <w:shd w:val="clear" w:color="auto" w:fill="FFFFFF"/>
            <w:vAlign w:val="center"/>
          </w:tcPr>
          <w:p>
            <w:pPr>
              <w:jc w:val="center"/>
            </w:pPr>
            <w:r>
              <w:rPr>
                <w:rFonts w:ascii="Calibri" w:hAnsi="Calibri"/>
                <w:b w:val="0"/>
                <w:i w:val="0"/>
                <w:color w:val="2E2E2E"/>
                <w:sz w:val="20"/>
              </w:rPr>
              <w:t>Rapid loan book growth ($500M → $1B+) could lead to elevated NPLs in a downturn</w:t>
            </w:r>
          </w:p>
        </w:tc>
        <w:tc>
          <w:tcPr>
            <w:tcW w:type="dxa" w:w="1296"/>
            <w:shd w:val="clear" w:color="auto" w:fill="FFFFFF"/>
            <w:vAlign w:val="center"/>
          </w:tcPr>
          <w:p>
            <w:pPr>
              <w:jc w:val="center"/>
            </w:pPr>
            <w:r>
              <w:rPr>
                <w:rFonts w:ascii="Calibri" w:hAnsi="Calibri"/>
                <w:b w:val="0"/>
                <w:i w:val="0"/>
                <w:color w:val="2E2E2E"/>
                <w:sz w:val="20"/>
              </w:rPr>
              <w:t>MEDIUM</w:t>
            </w:r>
          </w:p>
        </w:tc>
        <w:tc>
          <w:tcPr>
            <w:tcW w:type="dxa" w:w="1152"/>
            <w:shd w:val="clear" w:color="auto" w:fill="FFFFFF"/>
            <w:vAlign w:val="center"/>
          </w:tcPr>
          <w:p>
            <w:pPr>
              <w:jc w:val="center"/>
            </w:pPr>
            <w:r>
              <w:rPr>
                <w:rFonts w:ascii="Calibri" w:hAnsi="Calibri"/>
                <w:b w:val="0"/>
                <w:i w:val="0"/>
                <w:color w:val="2E2E2E"/>
                <w:sz w:val="20"/>
              </w:rPr>
              <w:t>MEDIUM</w:t>
            </w:r>
          </w:p>
        </w:tc>
        <w:tc>
          <w:tcPr>
            <w:tcW w:type="dxa" w:w="3600"/>
            <w:shd w:val="clear" w:color="auto" w:fill="FFFFFF"/>
            <w:vAlign w:val="center"/>
          </w:tcPr>
          <w:p>
            <w:pPr>
              <w:jc w:val="center"/>
            </w:pPr>
            <w:r>
              <w:rPr>
                <w:rFonts w:ascii="Calibri" w:hAnsi="Calibri"/>
                <w:b w:val="0"/>
                <w:i w:val="0"/>
                <w:color w:val="2E2E2E"/>
                <w:sz w:val="20"/>
              </w:rPr>
              <w:t>Proprietary transaction data enables superior credit scoring; portfolio still small relative to balance sheet</w:t>
            </w:r>
          </w:p>
        </w:tc>
      </w:tr>
      <w:tr>
        <w:tc>
          <w:tcPr>
            <w:tcW w:type="dxa" w:w="2448"/>
            <w:shd w:val="clear" w:color="auto" w:fill="EAF7EE"/>
            <w:vAlign w:val="center"/>
          </w:tcPr>
          <w:p>
            <w:r>
              <w:rPr>
                <w:rFonts w:ascii="Calibri" w:hAnsi="Calibri"/>
                <w:b/>
                <w:i w:val="0"/>
                <w:color w:val="2E2E2E"/>
                <w:sz w:val="20"/>
              </w:rPr>
              <w:t>Market Valuation / Multiple Compression</w:t>
            </w:r>
          </w:p>
        </w:tc>
        <w:tc>
          <w:tcPr>
            <w:tcW w:type="dxa" w:w="3600"/>
            <w:shd w:val="clear" w:color="auto" w:fill="EAF7EE"/>
            <w:vAlign w:val="center"/>
          </w:tcPr>
          <w:p>
            <w:pPr>
              <w:jc w:val="center"/>
            </w:pPr>
            <w:r>
              <w:rPr>
                <w:rFonts w:ascii="Calibri" w:hAnsi="Calibri"/>
                <w:b w:val="0"/>
                <w:i w:val="0"/>
                <w:color w:val="2E2E2E"/>
                <w:sz w:val="20"/>
              </w:rPr>
              <w:t>Premium EV/Revenue multiple (4.5–7.8x) leaves room for multiple de-rating if growth slows</w:t>
            </w:r>
          </w:p>
        </w:tc>
        <w:tc>
          <w:tcPr>
            <w:tcW w:type="dxa" w:w="1296"/>
            <w:shd w:val="clear" w:color="auto" w:fill="EAF7EE"/>
            <w:vAlign w:val="center"/>
          </w:tcPr>
          <w:p>
            <w:pPr>
              <w:jc w:val="center"/>
            </w:pPr>
            <w:r>
              <w:rPr>
                <w:rFonts w:ascii="Calibri" w:hAnsi="Calibri"/>
                <w:b w:val="0"/>
                <w:i w:val="0"/>
                <w:color w:val="2E2E2E"/>
                <w:sz w:val="20"/>
              </w:rPr>
              <w:t>MEDIUM</w:t>
            </w:r>
          </w:p>
        </w:tc>
        <w:tc>
          <w:tcPr>
            <w:tcW w:type="dxa" w:w="1152"/>
            <w:shd w:val="clear" w:color="auto" w:fill="EAF7EE"/>
            <w:vAlign w:val="center"/>
          </w:tcPr>
          <w:p>
            <w:pPr>
              <w:jc w:val="center"/>
            </w:pPr>
            <w:r>
              <w:rPr>
                <w:rFonts w:ascii="Calibri" w:hAnsi="Calibri"/>
                <w:b w:val="0"/>
                <w:i w:val="0"/>
                <w:color w:val="2E2E2E"/>
                <w:sz w:val="20"/>
              </w:rPr>
              <w:t>HIGH</w:t>
            </w:r>
          </w:p>
        </w:tc>
        <w:tc>
          <w:tcPr>
            <w:tcW w:type="dxa" w:w="3600"/>
            <w:shd w:val="clear" w:color="auto" w:fill="EAF7EE"/>
            <w:vAlign w:val="center"/>
          </w:tcPr>
          <w:p>
            <w:pPr>
              <w:jc w:val="center"/>
            </w:pPr>
            <w:r>
              <w:rPr>
                <w:rFonts w:ascii="Calibri" w:hAnsi="Calibri"/>
                <w:b w:val="0"/>
                <w:i w:val="0"/>
                <w:color w:val="2E2E2E"/>
                <w:sz w:val="20"/>
              </w:rPr>
              <w:t>20%+ revenue growth with path to $1.5B EBITDA supports current multiples; first profitability year re-rates stock</w:t>
            </w:r>
          </w:p>
        </w:tc>
      </w:tr>
    </w:tbl>
    <w:p>
      <w:pPr>
        <w:spacing w:before="0" w:after="120"/>
      </w:pPr>
    </w:p>
    <w:p>
      <w:r>
        <w:br w:type="page"/>
      </w:r>
    </w:p>
    <w:p>
      <w:pPr>
        <w:spacing w:before="280" w:after="80"/>
        <w:pBdr>
          <w:bottom w:val="single" w:sz="6" w:space="1" w:color="00B14F"/>
        </w:pBdr>
      </w:pPr>
      <w:r>
        <w:rPr>
          <w:rFonts w:ascii="Calibri" w:hAnsi="Calibri"/>
          <w:b/>
          <w:i w:val="0"/>
          <w:color w:val="00B14F"/>
          <w:sz w:val="30"/>
        </w:rPr>
        <w:t>PHASE 7 — VALUATION</w:t>
      </w:r>
    </w:p>
    <w:p>
      <w:pPr>
        <w:spacing w:before="200" w:after="60"/>
      </w:pPr>
      <w:r>
        <w:rPr>
          <w:rFonts w:ascii="Calibri" w:hAnsi="Calibri"/>
          <w:b/>
          <w:i w:val="0"/>
          <w:color w:val="2E2E2E"/>
          <w:sz w:val="24"/>
        </w:rPr>
        <w:t>Current Market Data (as of March 25, 2026)</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1A7A3F"/>
            <w:vAlign w:val="center"/>
          </w:tcPr>
          <w:p>
            <w:pPr>
              <w:jc w:val="center"/>
            </w:pPr>
            <w:r>
              <w:rPr>
                <w:rFonts w:ascii="Calibri" w:hAnsi="Calibri"/>
                <w:b/>
                <w:i w:val="0"/>
                <w:color w:val="FFFFFF"/>
                <w:sz w:val="20"/>
              </w:rPr>
              <w:t>Metric</w:t>
            </w:r>
          </w:p>
        </w:tc>
        <w:tc>
          <w:tcPr>
            <w:tcW w:type="dxa" w:w="3168"/>
            <w:shd w:val="clear" w:color="auto" w:fill="1A7A3F"/>
            <w:vAlign w:val="center"/>
          </w:tcPr>
          <w:p>
            <w:pPr>
              <w:jc w:val="center"/>
            </w:pPr>
            <w:r>
              <w:rPr>
                <w:rFonts w:ascii="Calibri" w:hAnsi="Calibri"/>
                <w:b/>
                <w:i w:val="0"/>
                <w:color w:val="FFFFFF"/>
                <w:sz w:val="20"/>
              </w:rPr>
              <w:t>Value</w:t>
            </w:r>
          </w:p>
        </w:tc>
        <w:tc>
          <w:tcPr>
            <w:tcW w:type="dxa" w:w="4896"/>
            <w:shd w:val="clear" w:color="auto" w:fill="1A7A3F"/>
            <w:vAlign w:val="center"/>
          </w:tcPr>
          <w:p>
            <w:pPr>
              <w:jc w:val="center"/>
            </w:pPr>
            <w:r>
              <w:rPr>
                <w:rFonts w:ascii="Calibri" w:hAnsi="Calibri"/>
                <w:b/>
                <w:i w:val="0"/>
                <w:color w:val="FFFFFF"/>
                <w:sz w:val="20"/>
              </w:rPr>
              <w:t>Notes</w:t>
            </w:r>
          </w:p>
        </w:tc>
      </w:tr>
      <w:tr>
        <w:tc>
          <w:tcPr>
            <w:tcW w:type="dxa" w:w="4032"/>
            <w:shd w:val="clear" w:color="auto" w:fill="EAF7EE"/>
            <w:vAlign w:val="center"/>
          </w:tcPr>
          <w:p>
            <w:r>
              <w:rPr>
                <w:rFonts w:ascii="Calibri" w:hAnsi="Calibri"/>
                <w:b/>
                <w:i w:val="0"/>
                <w:color w:val="2E2E2E"/>
                <w:sz w:val="20"/>
              </w:rPr>
              <w:t>Stock Price</w:t>
            </w:r>
          </w:p>
        </w:tc>
        <w:tc>
          <w:tcPr>
            <w:tcW w:type="dxa" w:w="3168"/>
            <w:shd w:val="clear" w:color="auto" w:fill="EAF7EE"/>
            <w:vAlign w:val="center"/>
          </w:tcPr>
          <w:p>
            <w:pPr>
              <w:jc w:val="center"/>
            </w:pPr>
            <w:r>
              <w:rPr>
                <w:rFonts w:ascii="Calibri" w:hAnsi="Calibri"/>
                <w:b w:val="0"/>
                <w:i w:val="0"/>
                <w:color w:val="2E2E2E"/>
                <w:sz w:val="20"/>
              </w:rPr>
              <w:t>~$3.85</w:t>
            </w:r>
          </w:p>
        </w:tc>
        <w:tc>
          <w:tcPr>
            <w:tcW w:type="dxa" w:w="4896"/>
            <w:shd w:val="clear" w:color="auto" w:fill="EAF7EE"/>
            <w:vAlign w:val="center"/>
          </w:tcPr>
          <w:p>
            <w:pPr>
              <w:jc w:val="center"/>
            </w:pPr>
            <w:r>
              <w:rPr>
                <w:rFonts w:ascii="Calibri" w:hAnsi="Calibri"/>
                <w:b w:val="0"/>
                <w:i w:val="0"/>
                <w:color w:val="2E2E2E"/>
                <w:sz w:val="20"/>
              </w:rPr>
              <w:t>As of ~March 24, 2026</w:t>
            </w:r>
          </w:p>
        </w:tc>
      </w:tr>
      <w:tr>
        <w:tc>
          <w:tcPr>
            <w:tcW w:type="dxa" w:w="4032"/>
            <w:shd w:val="clear" w:color="auto" w:fill="FFFFFF"/>
            <w:vAlign w:val="center"/>
          </w:tcPr>
          <w:p>
            <w:r>
              <w:rPr>
                <w:rFonts w:ascii="Calibri" w:hAnsi="Calibri"/>
                <w:b/>
                <w:i w:val="0"/>
                <w:color w:val="2E2E2E"/>
                <w:sz w:val="20"/>
              </w:rPr>
              <w:t>Market Capitalisation</w:t>
            </w:r>
          </w:p>
        </w:tc>
        <w:tc>
          <w:tcPr>
            <w:tcW w:type="dxa" w:w="3168"/>
            <w:shd w:val="clear" w:color="auto" w:fill="FFFFFF"/>
            <w:vAlign w:val="center"/>
          </w:tcPr>
          <w:p>
            <w:pPr>
              <w:jc w:val="center"/>
            </w:pPr>
            <w:r>
              <w:rPr>
                <w:rFonts w:ascii="Calibri" w:hAnsi="Calibri"/>
                <w:b w:val="0"/>
                <w:i w:val="0"/>
                <w:color w:val="2E2E2E"/>
                <w:sz w:val="20"/>
              </w:rPr>
              <w:t>~$15.0B</w:t>
            </w:r>
          </w:p>
        </w:tc>
        <w:tc>
          <w:tcPr>
            <w:tcW w:type="dxa" w:w="4896"/>
            <w:shd w:val="clear" w:color="auto" w:fill="FFFFFF"/>
            <w:vAlign w:val="center"/>
          </w:tcPr>
          <w:p>
            <w:pPr>
              <w:jc w:val="center"/>
            </w:pPr>
            <w:r>
              <w:rPr>
                <w:rFonts w:ascii="Calibri" w:hAnsi="Calibri"/>
                <w:b w:val="0"/>
                <w:i w:val="0"/>
                <w:color w:val="2E2E2E"/>
                <w:sz w:val="20"/>
              </w:rPr>
              <w:t>Based on ~3.9B diluted shares</w:t>
            </w:r>
          </w:p>
        </w:tc>
      </w:tr>
      <w:tr>
        <w:tc>
          <w:tcPr>
            <w:tcW w:type="dxa" w:w="4032"/>
            <w:shd w:val="clear" w:color="auto" w:fill="EAF7EE"/>
            <w:vAlign w:val="center"/>
          </w:tcPr>
          <w:p>
            <w:r>
              <w:rPr>
                <w:rFonts w:ascii="Calibri" w:hAnsi="Calibri"/>
                <w:b/>
                <w:i w:val="0"/>
                <w:color w:val="2E2E2E"/>
                <w:sz w:val="20"/>
              </w:rPr>
              <w:t>Enterprise Value (approx.)</w:t>
            </w:r>
          </w:p>
        </w:tc>
        <w:tc>
          <w:tcPr>
            <w:tcW w:type="dxa" w:w="3168"/>
            <w:shd w:val="clear" w:color="auto" w:fill="EAF7EE"/>
            <w:vAlign w:val="center"/>
          </w:tcPr>
          <w:p>
            <w:pPr>
              <w:jc w:val="center"/>
            </w:pPr>
            <w:r>
              <w:rPr>
                <w:rFonts w:ascii="Calibri" w:hAnsi="Calibri"/>
                <w:b w:val="0"/>
                <w:i w:val="0"/>
                <w:color w:val="2E2E2E"/>
                <w:sz w:val="20"/>
              </w:rPr>
              <w:t>~$9.6B</w:t>
            </w:r>
          </w:p>
        </w:tc>
        <w:tc>
          <w:tcPr>
            <w:tcW w:type="dxa" w:w="4896"/>
            <w:shd w:val="clear" w:color="auto" w:fill="EAF7EE"/>
            <w:vAlign w:val="center"/>
          </w:tcPr>
          <w:p>
            <w:pPr>
              <w:jc w:val="center"/>
            </w:pPr>
            <w:r>
              <w:rPr>
                <w:rFonts w:ascii="Calibri" w:hAnsi="Calibri"/>
                <w:b w:val="0"/>
                <w:i w:val="0"/>
                <w:color w:val="2E2E2E"/>
                <w:sz w:val="20"/>
              </w:rPr>
              <w:t>Market cap less ~$5.4B net cash</w:t>
            </w:r>
          </w:p>
        </w:tc>
      </w:tr>
      <w:tr>
        <w:tc>
          <w:tcPr>
            <w:tcW w:type="dxa" w:w="4032"/>
            <w:shd w:val="clear" w:color="auto" w:fill="FFFFFF"/>
            <w:vAlign w:val="center"/>
          </w:tcPr>
          <w:p>
            <w:r>
              <w:rPr>
                <w:rFonts w:ascii="Calibri" w:hAnsi="Calibri"/>
                <w:b/>
                <w:i w:val="0"/>
                <w:color w:val="2E2E2E"/>
                <w:sz w:val="20"/>
              </w:rPr>
              <w:t>FY2025 Revenue</w:t>
            </w:r>
          </w:p>
        </w:tc>
        <w:tc>
          <w:tcPr>
            <w:tcW w:type="dxa" w:w="3168"/>
            <w:shd w:val="clear" w:color="auto" w:fill="FFFFFF"/>
            <w:vAlign w:val="center"/>
          </w:tcPr>
          <w:p>
            <w:pPr>
              <w:jc w:val="center"/>
            </w:pPr>
            <w:r>
              <w:rPr>
                <w:rFonts w:ascii="Calibri" w:hAnsi="Calibri"/>
                <w:b w:val="0"/>
                <w:i w:val="0"/>
                <w:color w:val="2E2E2E"/>
                <w:sz w:val="20"/>
              </w:rPr>
              <w:t>$3.37B</w:t>
            </w:r>
          </w:p>
        </w:tc>
        <w:tc>
          <w:tcPr>
            <w:tcW w:type="dxa" w:w="4896"/>
            <w:shd w:val="clear" w:color="auto" w:fill="FFFFFF"/>
            <w:vAlign w:val="center"/>
          </w:tcPr>
          <w:p>
            <w:pPr>
              <w:jc w:val="center"/>
            </w:pPr>
            <w:r>
              <w:rPr>
                <w:rFonts w:ascii="Calibri" w:hAnsi="Calibri"/>
                <w:b w:val="0"/>
                <w:i w:val="0"/>
                <w:color w:val="2E2E2E"/>
                <w:sz w:val="20"/>
              </w:rPr>
              <w:t>First profitable full year</w:t>
            </w:r>
          </w:p>
        </w:tc>
      </w:tr>
      <w:tr>
        <w:tc>
          <w:tcPr>
            <w:tcW w:type="dxa" w:w="4032"/>
            <w:shd w:val="clear" w:color="auto" w:fill="EAF7EE"/>
            <w:vAlign w:val="center"/>
          </w:tcPr>
          <w:p>
            <w:r>
              <w:rPr>
                <w:rFonts w:ascii="Calibri" w:hAnsi="Calibri"/>
                <w:b/>
                <w:i w:val="0"/>
                <w:color w:val="2E2E2E"/>
                <w:sz w:val="20"/>
              </w:rPr>
              <w:t>FY2025 Adj. EBITDA</w:t>
            </w:r>
          </w:p>
        </w:tc>
        <w:tc>
          <w:tcPr>
            <w:tcW w:type="dxa" w:w="3168"/>
            <w:shd w:val="clear" w:color="auto" w:fill="EAF7EE"/>
            <w:vAlign w:val="center"/>
          </w:tcPr>
          <w:p>
            <w:pPr>
              <w:jc w:val="center"/>
            </w:pPr>
            <w:r>
              <w:rPr>
                <w:rFonts w:ascii="Calibri" w:hAnsi="Calibri"/>
                <w:b w:val="0"/>
                <w:i w:val="0"/>
                <w:color w:val="2E2E2E"/>
                <w:sz w:val="20"/>
              </w:rPr>
              <w:t>$500M</w:t>
            </w:r>
          </w:p>
        </w:tc>
        <w:tc>
          <w:tcPr>
            <w:tcW w:type="dxa" w:w="4896"/>
            <w:shd w:val="clear" w:color="auto" w:fill="EAF7EE"/>
            <w:vAlign w:val="center"/>
          </w:tcPr>
          <w:p>
            <w:pPr>
              <w:jc w:val="center"/>
            </w:pPr>
            <w:r>
              <w:rPr>
                <w:rFonts w:ascii="Calibri" w:hAnsi="Calibri"/>
                <w:b w:val="0"/>
                <w:i w:val="0"/>
                <w:color w:val="2E2E2E"/>
                <w:sz w:val="20"/>
              </w:rPr>
              <w:t>60% YoY improvement</w:t>
            </w:r>
          </w:p>
        </w:tc>
      </w:tr>
      <w:tr>
        <w:tc>
          <w:tcPr>
            <w:tcW w:type="dxa" w:w="4032"/>
            <w:shd w:val="clear" w:color="auto" w:fill="FFFFFF"/>
            <w:vAlign w:val="center"/>
          </w:tcPr>
          <w:p>
            <w:r>
              <w:rPr>
                <w:rFonts w:ascii="Calibri" w:hAnsi="Calibri"/>
                <w:b/>
                <w:i w:val="0"/>
                <w:color w:val="2E2E2E"/>
                <w:sz w:val="20"/>
              </w:rPr>
              <w:t>EV / FY2025 Revenue</w:t>
            </w:r>
          </w:p>
        </w:tc>
        <w:tc>
          <w:tcPr>
            <w:tcW w:type="dxa" w:w="3168"/>
            <w:shd w:val="clear" w:color="auto" w:fill="FFFFFF"/>
            <w:vAlign w:val="center"/>
          </w:tcPr>
          <w:p>
            <w:pPr>
              <w:jc w:val="center"/>
            </w:pPr>
            <w:r>
              <w:rPr>
                <w:rFonts w:ascii="Calibri" w:hAnsi="Calibri"/>
                <w:b w:val="0"/>
                <w:i w:val="0"/>
                <w:color w:val="2E2E2E"/>
                <w:sz w:val="20"/>
              </w:rPr>
              <w:t>~2.8x</w:t>
            </w:r>
          </w:p>
        </w:tc>
        <w:tc>
          <w:tcPr>
            <w:tcW w:type="dxa" w:w="4896"/>
            <w:shd w:val="clear" w:color="auto" w:fill="FFFFFF"/>
            <w:vAlign w:val="center"/>
          </w:tcPr>
          <w:p>
            <w:pPr>
              <w:jc w:val="center"/>
            </w:pPr>
            <w:r>
              <w:rPr>
                <w:rFonts w:ascii="Calibri" w:hAnsi="Calibri"/>
                <w:b w:val="0"/>
                <w:i w:val="0"/>
                <w:color w:val="2E2E2E"/>
                <w:sz w:val="20"/>
              </w:rPr>
              <w:t>Attractive for 20%+ growth</w:t>
            </w:r>
          </w:p>
        </w:tc>
      </w:tr>
      <w:tr>
        <w:tc>
          <w:tcPr>
            <w:tcW w:type="dxa" w:w="4032"/>
            <w:shd w:val="clear" w:color="auto" w:fill="EAF7EE"/>
            <w:vAlign w:val="center"/>
          </w:tcPr>
          <w:p>
            <w:r>
              <w:rPr>
                <w:rFonts w:ascii="Calibri" w:hAnsi="Calibri"/>
                <w:b/>
                <w:i w:val="0"/>
                <w:color w:val="2E2E2E"/>
                <w:sz w:val="20"/>
              </w:rPr>
              <w:t>EV / FY2025 Adj. EBITDA</w:t>
            </w:r>
          </w:p>
        </w:tc>
        <w:tc>
          <w:tcPr>
            <w:tcW w:type="dxa" w:w="3168"/>
            <w:shd w:val="clear" w:color="auto" w:fill="EAF7EE"/>
            <w:vAlign w:val="center"/>
          </w:tcPr>
          <w:p>
            <w:pPr>
              <w:jc w:val="center"/>
            </w:pPr>
            <w:r>
              <w:rPr>
                <w:rFonts w:ascii="Calibri" w:hAnsi="Calibri"/>
                <w:b w:val="0"/>
                <w:i w:val="0"/>
                <w:color w:val="2E2E2E"/>
                <w:sz w:val="20"/>
              </w:rPr>
              <w:t>~19.2x</w:t>
            </w:r>
          </w:p>
        </w:tc>
        <w:tc>
          <w:tcPr>
            <w:tcW w:type="dxa" w:w="4896"/>
            <w:shd w:val="clear" w:color="auto" w:fill="EAF7EE"/>
            <w:vAlign w:val="center"/>
          </w:tcPr>
          <w:p>
            <w:pPr>
              <w:jc w:val="center"/>
            </w:pPr>
            <w:r>
              <w:rPr>
                <w:rFonts w:ascii="Calibri" w:hAnsi="Calibri"/>
                <w:b w:val="0"/>
                <w:i w:val="0"/>
                <w:color w:val="2E2E2E"/>
                <w:sz w:val="20"/>
              </w:rPr>
              <w:t>Reasonable for growth stage</w:t>
            </w:r>
          </w:p>
        </w:tc>
      </w:tr>
      <w:tr>
        <w:tc>
          <w:tcPr>
            <w:tcW w:type="dxa" w:w="4032"/>
            <w:shd w:val="clear" w:color="auto" w:fill="FFFFFF"/>
            <w:vAlign w:val="center"/>
          </w:tcPr>
          <w:p>
            <w:r>
              <w:rPr>
                <w:rFonts w:ascii="Calibri" w:hAnsi="Calibri"/>
                <w:b/>
                <w:i w:val="0"/>
                <w:color w:val="2E2E2E"/>
                <w:sz w:val="20"/>
              </w:rPr>
              <w:t>EV / FY2026E Revenue</w:t>
            </w:r>
          </w:p>
        </w:tc>
        <w:tc>
          <w:tcPr>
            <w:tcW w:type="dxa" w:w="3168"/>
            <w:shd w:val="clear" w:color="auto" w:fill="FFFFFF"/>
            <w:vAlign w:val="center"/>
          </w:tcPr>
          <w:p>
            <w:pPr>
              <w:jc w:val="center"/>
            </w:pPr>
            <w:r>
              <w:rPr>
                <w:rFonts w:ascii="Calibri" w:hAnsi="Calibri"/>
                <w:b w:val="0"/>
                <w:i w:val="0"/>
                <w:color w:val="2E2E2E"/>
                <w:sz w:val="20"/>
              </w:rPr>
              <w:t>~2.3x</w:t>
            </w:r>
          </w:p>
        </w:tc>
        <w:tc>
          <w:tcPr>
            <w:tcW w:type="dxa" w:w="4896"/>
            <w:shd w:val="clear" w:color="auto" w:fill="FFFFFF"/>
            <w:vAlign w:val="center"/>
          </w:tcPr>
          <w:p>
            <w:pPr>
              <w:jc w:val="center"/>
            </w:pPr>
            <w:r>
              <w:rPr>
                <w:rFonts w:ascii="Calibri" w:hAnsi="Calibri"/>
                <w:b w:val="0"/>
                <w:i w:val="0"/>
                <w:color w:val="2E2E2E"/>
                <w:sz w:val="20"/>
              </w:rPr>
              <w:t>Forward; based on $4.07B midpoint</w:t>
            </w:r>
          </w:p>
        </w:tc>
      </w:tr>
      <w:tr>
        <w:tc>
          <w:tcPr>
            <w:tcW w:type="dxa" w:w="4032"/>
            <w:shd w:val="clear" w:color="auto" w:fill="EAF7EE"/>
            <w:vAlign w:val="center"/>
          </w:tcPr>
          <w:p>
            <w:r>
              <w:rPr>
                <w:rFonts w:ascii="Calibri" w:hAnsi="Calibri"/>
                <w:b/>
                <w:i w:val="0"/>
                <w:color w:val="2E2E2E"/>
                <w:sz w:val="20"/>
              </w:rPr>
              <w:t>EV / FY2026E Adj. EBITDA</w:t>
            </w:r>
          </w:p>
        </w:tc>
        <w:tc>
          <w:tcPr>
            <w:tcW w:type="dxa" w:w="3168"/>
            <w:shd w:val="clear" w:color="auto" w:fill="EAF7EE"/>
            <w:vAlign w:val="center"/>
          </w:tcPr>
          <w:p>
            <w:pPr>
              <w:jc w:val="center"/>
            </w:pPr>
            <w:r>
              <w:rPr>
                <w:rFonts w:ascii="Calibri" w:hAnsi="Calibri"/>
                <w:b w:val="0"/>
                <w:i w:val="0"/>
                <w:color w:val="2E2E2E"/>
                <w:sz w:val="20"/>
              </w:rPr>
              <w:t>~13.5x</w:t>
            </w:r>
          </w:p>
        </w:tc>
        <w:tc>
          <w:tcPr>
            <w:tcW w:type="dxa" w:w="4896"/>
            <w:shd w:val="clear" w:color="auto" w:fill="EAF7EE"/>
            <w:vAlign w:val="center"/>
          </w:tcPr>
          <w:p>
            <w:pPr>
              <w:jc w:val="center"/>
            </w:pPr>
            <w:r>
              <w:rPr>
                <w:rFonts w:ascii="Calibri" w:hAnsi="Calibri"/>
                <w:b w:val="0"/>
                <w:i w:val="0"/>
                <w:color w:val="2E2E2E"/>
                <w:sz w:val="20"/>
              </w:rPr>
              <w:t>Forward; based on $710M midpoint</w:t>
            </w:r>
          </w:p>
        </w:tc>
      </w:tr>
      <w:tr>
        <w:tc>
          <w:tcPr>
            <w:tcW w:type="dxa" w:w="4032"/>
            <w:shd w:val="clear" w:color="auto" w:fill="FFFFFF"/>
            <w:vAlign w:val="center"/>
          </w:tcPr>
          <w:p>
            <w:r>
              <w:rPr>
                <w:rFonts w:ascii="Calibri" w:hAnsi="Calibri"/>
                <w:b/>
                <w:i w:val="0"/>
                <w:color w:val="2E2E2E"/>
                <w:sz w:val="20"/>
              </w:rPr>
              <w:t>P/E (FY2025)</w:t>
            </w:r>
          </w:p>
        </w:tc>
        <w:tc>
          <w:tcPr>
            <w:tcW w:type="dxa" w:w="3168"/>
            <w:shd w:val="clear" w:color="auto" w:fill="FFFFFF"/>
            <w:vAlign w:val="center"/>
          </w:tcPr>
          <w:p>
            <w:pPr>
              <w:jc w:val="center"/>
            </w:pPr>
            <w:r>
              <w:rPr>
                <w:rFonts w:ascii="Calibri" w:hAnsi="Calibri"/>
                <w:b w:val="0"/>
                <w:i w:val="0"/>
                <w:color w:val="2E2E2E"/>
                <w:sz w:val="20"/>
              </w:rPr>
              <w:t>~75x</w:t>
            </w:r>
          </w:p>
        </w:tc>
        <w:tc>
          <w:tcPr>
            <w:tcW w:type="dxa" w:w="4896"/>
            <w:shd w:val="clear" w:color="auto" w:fill="FFFFFF"/>
            <w:vAlign w:val="center"/>
          </w:tcPr>
          <w:p>
            <w:pPr>
              <w:jc w:val="center"/>
            </w:pPr>
            <w:r>
              <w:rPr>
                <w:rFonts w:ascii="Calibri" w:hAnsi="Calibri"/>
                <w:b w:val="0"/>
                <w:i w:val="0"/>
                <w:color w:val="2E2E2E"/>
                <w:sz w:val="20"/>
              </w:rPr>
              <w:t>First GAAP profit year; elevated but compresses rapidly</w:t>
            </w:r>
          </w:p>
        </w:tc>
      </w:tr>
      <w:tr>
        <w:tc>
          <w:tcPr>
            <w:tcW w:type="dxa" w:w="4032"/>
            <w:shd w:val="clear" w:color="auto" w:fill="EAF7EE"/>
            <w:vAlign w:val="center"/>
          </w:tcPr>
          <w:p>
            <w:r>
              <w:rPr>
                <w:rFonts w:ascii="Calibri" w:hAnsi="Calibri"/>
                <w:b/>
                <w:i w:val="0"/>
                <w:color w:val="2E2E2E"/>
                <w:sz w:val="20"/>
              </w:rPr>
              <w:t>Price / FY2026E Revenue</w:t>
            </w:r>
          </w:p>
        </w:tc>
        <w:tc>
          <w:tcPr>
            <w:tcW w:type="dxa" w:w="3168"/>
            <w:shd w:val="clear" w:color="auto" w:fill="EAF7EE"/>
            <w:vAlign w:val="center"/>
          </w:tcPr>
          <w:p>
            <w:pPr>
              <w:jc w:val="center"/>
            </w:pPr>
            <w:r>
              <w:rPr>
                <w:rFonts w:ascii="Calibri" w:hAnsi="Calibri"/>
                <w:b w:val="0"/>
                <w:i w:val="0"/>
                <w:color w:val="2E2E2E"/>
                <w:sz w:val="20"/>
              </w:rPr>
              <w:t>~3.7x</w:t>
            </w:r>
          </w:p>
        </w:tc>
        <w:tc>
          <w:tcPr>
            <w:tcW w:type="dxa" w:w="4896"/>
            <w:shd w:val="clear" w:color="auto" w:fill="EAF7EE"/>
            <w:vAlign w:val="center"/>
          </w:tcPr>
          <w:p>
            <w:pPr>
              <w:jc w:val="center"/>
            </w:pPr>
            <w:r>
              <w:rPr>
                <w:rFonts w:ascii="Calibri" w:hAnsi="Calibri"/>
                <w:b w:val="0"/>
                <w:i w:val="0"/>
                <w:color w:val="2E2E2E"/>
                <w:sz w:val="20"/>
              </w:rPr>
              <w:t>Market cap / $4.07B</w:t>
            </w:r>
          </w:p>
        </w:tc>
      </w:tr>
      <w:tr>
        <w:tc>
          <w:tcPr>
            <w:tcW w:type="dxa" w:w="4032"/>
            <w:shd w:val="clear" w:color="auto" w:fill="FFFFFF"/>
            <w:vAlign w:val="center"/>
          </w:tcPr>
          <w:p>
            <w:r>
              <w:rPr>
                <w:rFonts w:ascii="Calibri" w:hAnsi="Calibri"/>
                <w:b/>
                <w:i w:val="0"/>
                <w:color w:val="2E2E2E"/>
                <w:sz w:val="20"/>
              </w:rPr>
              <w:t>Analyst Avg. Price Target</w:t>
            </w:r>
          </w:p>
        </w:tc>
        <w:tc>
          <w:tcPr>
            <w:tcW w:type="dxa" w:w="3168"/>
            <w:shd w:val="clear" w:color="auto" w:fill="FFFFFF"/>
            <w:vAlign w:val="center"/>
          </w:tcPr>
          <w:p>
            <w:pPr>
              <w:jc w:val="center"/>
            </w:pPr>
            <w:r>
              <w:rPr>
                <w:rFonts w:ascii="Calibri" w:hAnsi="Calibri"/>
                <w:b w:val="0"/>
                <w:i w:val="0"/>
                <w:color w:val="2E2E2E"/>
                <w:sz w:val="20"/>
              </w:rPr>
              <w:t>$6.75</w:t>
            </w:r>
          </w:p>
        </w:tc>
        <w:tc>
          <w:tcPr>
            <w:tcW w:type="dxa" w:w="4896"/>
            <w:shd w:val="clear" w:color="auto" w:fill="FFFFFF"/>
            <w:vAlign w:val="center"/>
          </w:tcPr>
          <w:p>
            <w:pPr>
              <w:jc w:val="center"/>
            </w:pPr>
            <w:r>
              <w:rPr>
                <w:rFonts w:ascii="Calibri" w:hAnsi="Calibri"/>
                <w:b w:val="0"/>
                <w:i w:val="0"/>
                <w:color w:val="2E2E2E"/>
                <w:sz w:val="20"/>
              </w:rPr>
              <w:t>Average of $6.50–$6.96 range</w:t>
            </w:r>
          </w:p>
        </w:tc>
      </w:tr>
      <w:tr>
        <w:tc>
          <w:tcPr>
            <w:tcW w:type="dxa" w:w="4032"/>
            <w:shd w:val="clear" w:color="auto" w:fill="EAF7EE"/>
            <w:vAlign w:val="center"/>
          </w:tcPr>
          <w:p>
            <w:r>
              <w:rPr>
                <w:rFonts w:ascii="Calibri" w:hAnsi="Calibri"/>
                <w:b/>
                <w:i w:val="0"/>
                <w:color w:val="2E2E2E"/>
                <w:sz w:val="20"/>
              </w:rPr>
              <w:t>Analyst Ratings</w:t>
            </w:r>
          </w:p>
        </w:tc>
        <w:tc>
          <w:tcPr>
            <w:tcW w:type="dxa" w:w="3168"/>
            <w:shd w:val="clear" w:color="auto" w:fill="EAF7EE"/>
            <w:vAlign w:val="center"/>
          </w:tcPr>
          <w:p>
            <w:pPr>
              <w:jc w:val="center"/>
            </w:pPr>
            <w:r>
              <w:rPr>
                <w:rFonts w:ascii="Calibri" w:hAnsi="Calibri"/>
                <w:b w:val="0"/>
                <w:i w:val="0"/>
                <w:color w:val="2E2E2E"/>
                <w:sz w:val="20"/>
              </w:rPr>
              <w:t>23 Buy / 0 Hold / 0 Sell</w:t>
            </w:r>
          </w:p>
        </w:tc>
        <w:tc>
          <w:tcPr>
            <w:tcW w:type="dxa" w:w="4896"/>
            <w:shd w:val="clear" w:color="auto" w:fill="EAF7EE"/>
            <w:vAlign w:val="center"/>
          </w:tcPr>
          <w:p>
            <w:pPr>
              <w:jc w:val="center"/>
            </w:pPr>
            <w:r>
              <w:rPr>
                <w:rFonts w:ascii="Calibri" w:hAnsi="Calibri"/>
                <w:b w:val="0"/>
                <w:i w:val="0"/>
                <w:color w:val="2E2E2E"/>
                <w:sz w:val="20"/>
              </w:rPr>
              <w:t>Strong street conviction</w:t>
            </w:r>
          </w:p>
        </w:tc>
      </w:tr>
      <w:tr>
        <w:tc>
          <w:tcPr>
            <w:tcW w:type="dxa" w:w="4032"/>
            <w:shd w:val="clear" w:color="auto" w:fill="FFFFFF"/>
            <w:vAlign w:val="center"/>
          </w:tcPr>
          <w:p>
            <w:r>
              <w:rPr>
                <w:rFonts w:ascii="Calibri" w:hAnsi="Calibri"/>
                <w:b/>
                <w:i w:val="0"/>
                <w:color w:val="2E2E2E"/>
                <w:sz w:val="20"/>
              </w:rPr>
              <w:t>Implied Upside to Avg. Target</w:t>
            </w:r>
          </w:p>
        </w:tc>
        <w:tc>
          <w:tcPr>
            <w:tcW w:type="dxa" w:w="3168"/>
            <w:shd w:val="clear" w:color="auto" w:fill="FFFFFF"/>
            <w:vAlign w:val="center"/>
          </w:tcPr>
          <w:p>
            <w:pPr>
              <w:jc w:val="center"/>
            </w:pPr>
            <w:r>
              <w:rPr>
                <w:rFonts w:ascii="Calibri" w:hAnsi="Calibri"/>
                <w:b w:val="0"/>
                <w:i w:val="0"/>
                <w:color w:val="2E2E2E"/>
                <w:sz w:val="20"/>
              </w:rPr>
              <w:t>~75%</w:t>
            </w:r>
          </w:p>
        </w:tc>
        <w:tc>
          <w:tcPr>
            <w:tcW w:type="dxa" w:w="4896"/>
            <w:shd w:val="clear" w:color="auto" w:fill="FFFFFF"/>
            <w:vAlign w:val="center"/>
          </w:tcPr>
          <w:p>
            <w:pPr>
              <w:jc w:val="center"/>
            </w:pPr>
            <w:r>
              <w:rPr>
                <w:rFonts w:ascii="Calibri" w:hAnsi="Calibri"/>
                <w:b w:val="0"/>
                <w:i w:val="0"/>
                <w:color w:val="2E2E2E"/>
                <w:sz w:val="20"/>
              </w:rPr>
              <w:t>From ~$3.85 current price</w:t>
            </w:r>
          </w:p>
        </w:tc>
      </w:tr>
    </w:tbl>
    <w:p>
      <w:pPr>
        <w:spacing w:before="0" w:after="120"/>
      </w:pPr>
    </w:p>
    <w:p>
      <w:pPr>
        <w:spacing w:before="200" w:after="60"/>
      </w:pPr>
      <w:r>
        <w:rPr>
          <w:rFonts w:ascii="Calibri" w:hAnsi="Calibri"/>
          <w:b/>
          <w:i w:val="0"/>
          <w:color w:val="2E2E2E"/>
          <w:sz w:val="24"/>
        </w:rPr>
        <w:t>Bull / Base / Bear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val="clear" w:color="auto" w:fill="1A7A3F"/>
            <w:vAlign w:val="center"/>
          </w:tcPr>
          <w:p>
            <w:pPr>
              <w:jc w:val="center"/>
            </w:pPr>
            <w:r>
              <w:rPr>
                <w:rFonts w:ascii="Calibri" w:hAnsi="Calibri"/>
                <w:b/>
                <w:i w:val="0"/>
                <w:color w:val="FFFFFF"/>
                <w:sz w:val="20"/>
              </w:rPr>
              <w:t>Scenario</w:t>
            </w:r>
          </w:p>
        </w:tc>
        <w:tc>
          <w:tcPr>
            <w:tcW w:type="dxa" w:w="4608"/>
            <w:shd w:val="clear" w:color="auto" w:fill="1A7A3F"/>
            <w:vAlign w:val="center"/>
          </w:tcPr>
          <w:p>
            <w:pPr>
              <w:jc w:val="center"/>
            </w:pPr>
            <w:r>
              <w:rPr>
                <w:rFonts w:ascii="Calibri" w:hAnsi="Calibri"/>
                <w:b/>
                <w:i w:val="0"/>
                <w:color w:val="FFFFFF"/>
                <w:sz w:val="20"/>
              </w:rPr>
              <w:t>Key Assumptions</w:t>
            </w:r>
          </w:p>
        </w:tc>
        <w:tc>
          <w:tcPr>
            <w:tcW w:type="dxa" w:w="1440"/>
            <w:shd w:val="clear" w:color="auto" w:fill="1A7A3F"/>
            <w:vAlign w:val="center"/>
          </w:tcPr>
          <w:p>
            <w:pPr>
              <w:jc w:val="center"/>
            </w:pPr>
            <w:r>
              <w:rPr>
                <w:rFonts w:ascii="Calibri" w:hAnsi="Calibri"/>
                <w:b/>
                <w:i w:val="0"/>
                <w:color w:val="FFFFFF"/>
                <w:sz w:val="20"/>
              </w:rPr>
              <w:t>2026E Rev</w:t>
            </w:r>
          </w:p>
        </w:tc>
        <w:tc>
          <w:tcPr>
            <w:tcW w:type="dxa" w:w="1584"/>
            <w:shd w:val="clear" w:color="auto" w:fill="1A7A3F"/>
            <w:vAlign w:val="center"/>
          </w:tcPr>
          <w:p>
            <w:pPr>
              <w:jc w:val="center"/>
            </w:pPr>
            <w:r>
              <w:rPr>
                <w:rFonts w:ascii="Calibri" w:hAnsi="Calibri"/>
                <w:b/>
                <w:i w:val="0"/>
                <w:color w:val="FFFFFF"/>
                <w:sz w:val="20"/>
              </w:rPr>
              <w:t>2028E EBITDA</w:t>
            </w:r>
          </w:p>
        </w:tc>
        <w:tc>
          <w:tcPr>
            <w:tcW w:type="dxa" w:w="1728"/>
            <w:shd w:val="clear" w:color="auto" w:fill="1A7A3F"/>
            <w:vAlign w:val="center"/>
          </w:tcPr>
          <w:p>
            <w:pPr>
              <w:jc w:val="center"/>
            </w:pPr>
            <w:r>
              <w:rPr>
                <w:rFonts w:ascii="Calibri" w:hAnsi="Calibri"/>
                <w:b/>
                <w:i w:val="0"/>
                <w:color w:val="FFFFFF"/>
                <w:sz w:val="20"/>
              </w:rPr>
              <w:t>Target Price</w:t>
            </w:r>
          </w:p>
        </w:tc>
        <w:tc>
          <w:tcPr>
            <w:tcW w:type="dxa" w:w="1296"/>
            <w:shd w:val="clear" w:color="auto" w:fill="1A7A3F"/>
            <w:vAlign w:val="center"/>
          </w:tcPr>
          <w:p>
            <w:pPr>
              <w:jc w:val="center"/>
            </w:pPr>
            <w:r>
              <w:rPr>
                <w:rFonts w:ascii="Calibri" w:hAnsi="Calibri"/>
                <w:b/>
                <w:i w:val="0"/>
                <w:color w:val="FFFFFF"/>
                <w:sz w:val="20"/>
              </w:rPr>
              <w:t>Upside</w:t>
            </w:r>
          </w:p>
        </w:tc>
      </w:tr>
      <w:tr>
        <w:tc>
          <w:tcPr>
            <w:tcW w:type="dxa" w:w="1872"/>
            <w:shd w:val="clear" w:color="auto" w:fill="EAF7EE"/>
            <w:vAlign w:val="center"/>
          </w:tcPr>
          <w:p>
            <w:r>
              <w:rPr>
                <w:rFonts w:ascii="Calibri" w:hAnsi="Calibri"/>
                <w:b/>
                <w:i w:val="0"/>
                <w:color w:val="2E2E2E"/>
                <w:sz w:val="20"/>
              </w:rPr>
              <w:t>BULL CASE</w:t>
            </w:r>
          </w:p>
        </w:tc>
        <w:tc>
          <w:tcPr>
            <w:tcW w:type="dxa" w:w="4608"/>
            <w:shd w:val="clear" w:color="auto" w:fill="EAF7EE"/>
            <w:vAlign w:val="center"/>
          </w:tcPr>
          <w:p>
            <w:pPr>
              <w:jc w:val="center"/>
            </w:pPr>
            <w:r>
              <w:rPr>
                <w:rFonts w:ascii="Calibri" w:hAnsi="Calibri"/>
                <w:b w:val="0"/>
                <w:i w:val="0"/>
                <w:color w:val="2E2E2E"/>
                <w:sz w:val="20"/>
              </w:rPr>
              <w:t>GoTo merger completes (structural remedies); GrabFin loan book hits $3B+; GrabAds monetisation accelerates; margins expand to 20%+; SEA digital economy grows faster than expected</w:t>
            </w:r>
          </w:p>
        </w:tc>
        <w:tc>
          <w:tcPr>
            <w:tcW w:type="dxa" w:w="1440"/>
            <w:shd w:val="clear" w:color="auto" w:fill="EAF7EE"/>
            <w:vAlign w:val="center"/>
          </w:tcPr>
          <w:p>
            <w:pPr>
              <w:jc w:val="center"/>
            </w:pPr>
            <w:r>
              <w:rPr>
                <w:rFonts w:ascii="Calibri" w:hAnsi="Calibri"/>
                <w:b w:val="0"/>
                <w:i w:val="0"/>
                <w:color w:val="2E2E2E"/>
                <w:sz w:val="20"/>
              </w:rPr>
              <w:t>$4.5B</w:t>
            </w:r>
          </w:p>
        </w:tc>
        <w:tc>
          <w:tcPr>
            <w:tcW w:type="dxa" w:w="1584"/>
            <w:shd w:val="clear" w:color="auto" w:fill="EAF7EE"/>
            <w:vAlign w:val="center"/>
          </w:tcPr>
          <w:p>
            <w:pPr>
              <w:jc w:val="center"/>
            </w:pPr>
            <w:r>
              <w:rPr>
                <w:rFonts w:ascii="Calibri" w:hAnsi="Calibri"/>
                <w:b w:val="0"/>
                <w:i w:val="0"/>
                <w:color w:val="2E2E2E"/>
                <w:sz w:val="20"/>
              </w:rPr>
              <w:t>$2.0B+</w:t>
            </w:r>
          </w:p>
        </w:tc>
        <w:tc>
          <w:tcPr>
            <w:tcW w:type="dxa" w:w="1728"/>
            <w:shd w:val="clear" w:color="auto" w:fill="EAF7EE"/>
            <w:vAlign w:val="center"/>
          </w:tcPr>
          <w:p>
            <w:pPr>
              <w:jc w:val="center"/>
            </w:pPr>
            <w:r>
              <w:rPr>
                <w:rFonts w:ascii="Calibri" w:hAnsi="Calibri"/>
                <w:b w:val="0"/>
                <w:i w:val="0"/>
                <w:color w:val="2E2E2E"/>
                <w:sz w:val="20"/>
              </w:rPr>
              <w:t>$10–12</w:t>
            </w:r>
          </w:p>
        </w:tc>
        <w:tc>
          <w:tcPr>
            <w:tcW w:type="dxa" w:w="1296"/>
            <w:shd w:val="clear" w:color="auto" w:fill="EAF7EE"/>
            <w:vAlign w:val="center"/>
          </w:tcPr>
          <w:p>
            <w:pPr>
              <w:jc w:val="center"/>
            </w:pPr>
            <w:r>
              <w:rPr>
                <w:rFonts w:ascii="Calibri" w:hAnsi="Calibri"/>
                <w:b w:val="0"/>
                <w:i w:val="0"/>
                <w:color w:val="2E2E2E"/>
                <w:sz w:val="20"/>
              </w:rPr>
              <w:t>+160–210%</w:t>
            </w:r>
          </w:p>
        </w:tc>
      </w:tr>
      <w:tr>
        <w:tc>
          <w:tcPr>
            <w:tcW w:type="dxa" w:w="1872"/>
            <w:shd w:val="clear" w:color="auto" w:fill="FFFFFF"/>
            <w:vAlign w:val="center"/>
          </w:tcPr>
          <w:p>
            <w:r>
              <w:rPr>
                <w:rFonts w:ascii="Calibri" w:hAnsi="Calibri"/>
                <w:b/>
                <w:i w:val="0"/>
                <w:color w:val="2E2E2E"/>
                <w:sz w:val="20"/>
              </w:rPr>
              <w:t>BASE CASE</w:t>
            </w:r>
          </w:p>
        </w:tc>
        <w:tc>
          <w:tcPr>
            <w:tcW w:type="dxa" w:w="4608"/>
            <w:shd w:val="clear" w:color="auto" w:fill="FFFFFF"/>
            <w:vAlign w:val="center"/>
          </w:tcPr>
          <w:p>
            <w:pPr>
              <w:jc w:val="center"/>
            </w:pPr>
            <w:r>
              <w:rPr>
                <w:rFonts w:ascii="Calibri" w:hAnsi="Calibri"/>
                <w:b w:val="0"/>
                <w:i w:val="0"/>
                <w:color w:val="2E2E2E"/>
                <w:sz w:val="20"/>
              </w:rPr>
              <w:t>No GoTo merger; organic revenue growth 18–22% annually; GrabFin reaches $1.5B loan book; EBITDA hits $1.5B target by 2028; multiple expands as GAAP profitability track record builds</w:t>
            </w:r>
          </w:p>
        </w:tc>
        <w:tc>
          <w:tcPr>
            <w:tcW w:type="dxa" w:w="1440"/>
            <w:shd w:val="clear" w:color="auto" w:fill="FFFFFF"/>
            <w:vAlign w:val="center"/>
          </w:tcPr>
          <w:p>
            <w:pPr>
              <w:jc w:val="center"/>
            </w:pPr>
            <w:r>
              <w:rPr>
                <w:rFonts w:ascii="Calibri" w:hAnsi="Calibri"/>
                <w:b w:val="0"/>
                <w:i w:val="0"/>
                <w:color w:val="2E2E2E"/>
                <w:sz w:val="20"/>
              </w:rPr>
              <w:t>$4.1B</w:t>
            </w:r>
          </w:p>
        </w:tc>
        <w:tc>
          <w:tcPr>
            <w:tcW w:type="dxa" w:w="1584"/>
            <w:shd w:val="clear" w:color="auto" w:fill="FFFFFF"/>
            <w:vAlign w:val="center"/>
          </w:tcPr>
          <w:p>
            <w:pPr>
              <w:jc w:val="center"/>
            </w:pPr>
            <w:r>
              <w:rPr>
                <w:rFonts w:ascii="Calibri" w:hAnsi="Calibri"/>
                <w:b w:val="0"/>
                <w:i w:val="0"/>
                <w:color w:val="2E2E2E"/>
                <w:sz w:val="20"/>
              </w:rPr>
              <w:t>$1.5B</w:t>
            </w:r>
          </w:p>
        </w:tc>
        <w:tc>
          <w:tcPr>
            <w:tcW w:type="dxa" w:w="1728"/>
            <w:shd w:val="clear" w:color="auto" w:fill="FFFFFF"/>
            <w:vAlign w:val="center"/>
          </w:tcPr>
          <w:p>
            <w:pPr>
              <w:jc w:val="center"/>
            </w:pPr>
            <w:r>
              <w:rPr>
                <w:rFonts w:ascii="Calibri" w:hAnsi="Calibri"/>
                <w:b w:val="0"/>
                <w:i w:val="0"/>
                <w:color w:val="2E2E2E"/>
                <w:sz w:val="20"/>
              </w:rPr>
              <w:t>$6.50–7.00</w:t>
            </w:r>
          </w:p>
        </w:tc>
        <w:tc>
          <w:tcPr>
            <w:tcW w:type="dxa" w:w="1296"/>
            <w:shd w:val="clear" w:color="auto" w:fill="FFFFFF"/>
            <w:vAlign w:val="center"/>
          </w:tcPr>
          <w:p>
            <w:pPr>
              <w:jc w:val="center"/>
            </w:pPr>
            <w:r>
              <w:rPr>
                <w:rFonts w:ascii="Calibri" w:hAnsi="Calibri"/>
                <w:b w:val="0"/>
                <w:i w:val="0"/>
                <w:color w:val="2E2E2E"/>
                <w:sz w:val="20"/>
              </w:rPr>
              <w:t>+70–80%</w:t>
            </w:r>
          </w:p>
        </w:tc>
      </w:tr>
      <w:tr>
        <w:tc>
          <w:tcPr>
            <w:tcW w:type="dxa" w:w="1872"/>
            <w:shd w:val="clear" w:color="auto" w:fill="EAF7EE"/>
            <w:vAlign w:val="center"/>
          </w:tcPr>
          <w:p>
            <w:r>
              <w:rPr>
                <w:rFonts w:ascii="Calibri" w:hAnsi="Calibri"/>
                <w:b/>
                <w:i w:val="0"/>
                <w:color w:val="2E2E2E"/>
                <w:sz w:val="20"/>
              </w:rPr>
              <w:t>BEAR CASE</w:t>
            </w:r>
          </w:p>
        </w:tc>
        <w:tc>
          <w:tcPr>
            <w:tcW w:type="dxa" w:w="4608"/>
            <w:shd w:val="clear" w:color="auto" w:fill="EAF7EE"/>
            <w:vAlign w:val="center"/>
          </w:tcPr>
          <w:p>
            <w:pPr>
              <w:jc w:val="center"/>
            </w:pPr>
            <w:r>
              <w:rPr>
                <w:rFonts w:ascii="Calibri" w:hAnsi="Calibri"/>
                <w:b w:val="0"/>
                <w:i w:val="0"/>
                <w:color w:val="2E2E2E"/>
                <w:sz w:val="20"/>
              </w:rPr>
              <w:t>Competition intensifies; incentive spending re-escalates; GrabFin credit quality deteriorates; multiple compresses; no progress on GoTo; margins stagnate</w:t>
            </w:r>
          </w:p>
        </w:tc>
        <w:tc>
          <w:tcPr>
            <w:tcW w:type="dxa" w:w="1440"/>
            <w:shd w:val="clear" w:color="auto" w:fill="EAF7EE"/>
            <w:vAlign w:val="center"/>
          </w:tcPr>
          <w:p>
            <w:pPr>
              <w:jc w:val="center"/>
            </w:pPr>
            <w:r>
              <w:rPr>
                <w:rFonts w:ascii="Calibri" w:hAnsi="Calibri"/>
                <w:b w:val="0"/>
                <w:i w:val="0"/>
                <w:color w:val="2E2E2E"/>
                <w:sz w:val="20"/>
              </w:rPr>
              <w:t>$3.6B</w:t>
            </w:r>
          </w:p>
        </w:tc>
        <w:tc>
          <w:tcPr>
            <w:tcW w:type="dxa" w:w="1584"/>
            <w:shd w:val="clear" w:color="auto" w:fill="EAF7EE"/>
            <w:vAlign w:val="center"/>
          </w:tcPr>
          <w:p>
            <w:pPr>
              <w:jc w:val="center"/>
            </w:pPr>
            <w:r>
              <w:rPr>
                <w:rFonts w:ascii="Calibri" w:hAnsi="Calibri"/>
                <w:b w:val="0"/>
                <w:i w:val="0"/>
                <w:color w:val="2E2E2E"/>
                <w:sz w:val="20"/>
              </w:rPr>
              <w:t>$600M</w:t>
            </w:r>
          </w:p>
        </w:tc>
        <w:tc>
          <w:tcPr>
            <w:tcW w:type="dxa" w:w="1728"/>
            <w:shd w:val="clear" w:color="auto" w:fill="EAF7EE"/>
            <w:vAlign w:val="center"/>
          </w:tcPr>
          <w:p>
            <w:pPr>
              <w:jc w:val="center"/>
            </w:pPr>
            <w:r>
              <w:rPr>
                <w:rFonts w:ascii="Calibri" w:hAnsi="Calibri"/>
                <w:b w:val="0"/>
                <w:i w:val="0"/>
                <w:color w:val="2E2E2E"/>
                <w:sz w:val="20"/>
              </w:rPr>
              <w:t>$3.00–3.50</w:t>
            </w:r>
          </w:p>
        </w:tc>
        <w:tc>
          <w:tcPr>
            <w:tcW w:type="dxa" w:w="1296"/>
            <w:shd w:val="clear" w:color="auto" w:fill="EAF7EE"/>
            <w:vAlign w:val="center"/>
          </w:tcPr>
          <w:p>
            <w:pPr>
              <w:jc w:val="center"/>
            </w:pPr>
            <w:r>
              <w:rPr>
                <w:rFonts w:ascii="Calibri" w:hAnsi="Calibri"/>
                <w:b w:val="0"/>
                <w:i w:val="0"/>
                <w:color w:val="2E2E2E"/>
                <w:sz w:val="20"/>
              </w:rPr>
              <w:t>-10–(-22)%</w:t>
            </w:r>
          </w:p>
        </w:tc>
      </w:tr>
    </w:tbl>
    <w:p>
      <w:pPr>
        <w:spacing w:before="0" w:after="120"/>
      </w:pPr>
    </w:p>
    <w:p>
      <w:pPr>
        <w:spacing w:before="200" w:after="60"/>
      </w:pPr>
      <w:r>
        <w:rPr>
          <w:rFonts w:ascii="Calibri" w:hAnsi="Calibri"/>
          <w:b/>
          <w:i w:val="0"/>
          <w:color w:val="2E2E2E"/>
          <w:sz w:val="24"/>
        </w:rPr>
        <w:t>DCF Framework</w:t>
      </w:r>
    </w:p>
    <w:p>
      <w:pPr>
        <w:spacing w:before="0" w:after="80"/>
      </w:pPr>
      <w:r>
        <w:rPr>
          <w:rFonts w:ascii="Calibri" w:hAnsi="Calibri"/>
          <w:b w:val="0"/>
          <w:i w:val="0"/>
          <w:color w:val="2E2E2E"/>
          <w:sz w:val="21"/>
        </w:rPr>
        <w:t>A simplified discounted cash flow analysis using the following assumptions provides a cross-check on valuation:</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1A7A3F"/>
            <w:vAlign w:val="center"/>
          </w:tcPr>
          <w:p>
            <w:pPr>
              <w:jc w:val="center"/>
            </w:pPr>
            <w:r>
              <w:rPr>
                <w:rFonts w:ascii="Calibri" w:hAnsi="Calibri"/>
                <w:b/>
                <w:i w:val="0"/>
                <w:color w:val="FFFFFF"/>
                <w:sz w:val="20"/>
              </w:rPr>
              <w:t>DCF Input</w:t>
            </w:r>
          </w:p>
        </w:tc>
        <w:tc>
          <w:tcPr>
            <w:tcW w:type="dxa" w:w="2304"/>
            <w:shd w:val="clear" w:color="auto" w:fill="1A7A3F"/>
            <w:vAlign w:val="center"/>
          </w:tcPr>
          <w:p>
            <w:pPr>
              <w:jc w:val="center"/>
            </w:pPr>
            <w:r>
              <w:rPr>
                <w:rFonts w:ascii="Calibri" w:hAnsi="Calibri"/>
                <w:b/>
                <w:i w:val="0"/>
                <w:color w:val="FFFFFF"/>
                <w:sz w:val="20"/>
              </w:rPr>
              <w:t>Value</w:t>
            </w:r>
          </w:p>
        </w:tc>
        <w:tc>
          <w:tcPr>
            <w:tcW w:type="dxa" w:w="5760"/>
            <w:shd w:val="clear" w:color="auto" w:fill="1A7A3F"/>
            <w:vAlign w:val="center"/>
          </w:tcPr>
          <w:p>
            <w:pPr>
              <w:jc w:val="center"/>
            </w:pPr>
            <w:r>
              <w:rPr>
                <w:rFonts w:ascii="Calibri" w:hAnsi="Calibri"/>
                <w:b/>
                <w:i w:val="0"/>
                <w:color w:val="FFFFFF"/>
                <w:sz w:val="20"/>
              </w:rPr>
              <w:t>Rationale</w:t>
            </w:r>
          </w:p>
        </w:tc>
      </w:tr>
      <w:tr>
        <w:tc>
          <w:tcPr>
            <w:tcW w:type="dxa" w:w="4032"/>
            <w:shd w:val="clear" w:color="auto" w:fill="EAF7EE"/>
            <w:vAlign w:val="center"/>
          </w:tcPr>
          <w:p>
            <w:r>
              <w:rPr>
                <w:rFonts w:ascii="Calibri" w:hAnsi="Calibri"/>
                <w:b/>
                <w:i w:val="0"/>
                <w:color w:val="2E2E2E"/>
                <w:sz w:val="20"/>
              </w:rPr>
              <w:t>Base Year (FY2025) Revenue</w:t>
            </w:r>
          </w:p>
        </w:tc>
        <w:tc>
          <w:tcPr>
            <w:tcW w:type="dxa" w:w="2304"/>
            <w:shd w:val="clear" w:color="auto" w:fill="EAF7EE"/>
            <w:vAlign w:val="center"/>
          </w:tcPr>
          <w:p>
            <w:pPr>
              <w:jc w:val="center"/>
            </w:pPr>
            <w:r>
              <w:rPr>
                <w:rFonts w:ascii="Calibri" w:hAnsi="Calibri"/>
                <w:b w:val="0"/>
                <w:i w:val="0"/>
                <w:color w:val="2E2E2E"/>
                <w:sz w:val="20"/>
              </w:rPr>
              <w:t>$3.37B</w:t>
            </w:r>
          </w:p>
        </w:tc>
        <w:tc>
          <w:tcPr>
            <w:tcW w:type="dxa" w:w="5760"/>
            <w:shd w:val="clear" w:color="auto" w:fill="EAF7EE"/>
            <w:vAlign w:val="center"/>
          </w:tcPr>
          <w:p>
            <w:pPr>
              <w:jc w:val="center"/>
            </w:pPr>
            <w:r>
              <w:rPr>
                <w:rFonts w:ascii="Calibri" w:hAnsi="Calibri"/>
                <w:b w:val="0"/>
                <w:i w:val="0"/>
                <w:color w:val="2E2E2E"/>
                <w:sz w:val="20"/>
              </w:rPr>
              <w:t>Actuals</w:t>
            </w:r>
          </w:p>
        </w:tc>
      </w:tr>
      <w:tr>
        <w:tc>
          <w:tcPr>
            <w:tcW w:type="dxa" w:w="4032"/>
            <w:shd w:val="clear" w:color="auto" w:fill="FFFFFF"/>
            <w:vAlign w:val="center"/>
          </w:tcPr>
          <w:p>
            <w:r>
              <w:rPr>
                <w:rFonts w:ascii="Calibri" w:hAnsi="Calibri"/>
                <w:b/>
                <w:i w:val="0"/>
                <w:color w:val="2E2E2E"/>
                <w:sz w:val="20"/>
              </w:rPr>
              <w:t>Revenue CAGR (FY2026–FY2030)</w:t>
            </w:r>
          </w:p>
        </w:tc>
        <w:tc>
          <w:tcPr>
            <w:tcW w:type="dxa" w:w="2304"/>
            <w:shd w:val="clear" w:color="auto" w:fill="FFFFFF"/>
            <w:vAlign w:val="center"/>
          </w:tcPr>
          <w:p>
            <w:pPr>
              <w:jc w:val="center"/>
            </w:pPr>
            <w:r>
              <w:rPr>
                <w:rFonts w:ascii="Calibri" w:hAnsi="Calibri"/>
                <w:b w:val="0"/>
                <w:i w:val="0"/>
                <w:color w:val="2E2E2E"/>
                <w:sz w:val="20"/>
              </w:rPr>
              <w:t>18%</w:t>
            </w:r>
          </w:p>
        </w:tc>
        <w:tc>
          <w:tcPr>
            <w:tcW w:type="dxa" w:w="5760"/>
            <w:shd w:val="clear" w:color="auto" w:fill="FFFFFF"/>
            <w:vAlign w:val="center"/>
          </w:tcPr>
          <w:p>
            <w:pPr>
              <w:jc w:val="center"/>
            </w:pPr>
            <w:r>
              <w:rPr>
                <w:rFonts w:ascii="Calibri" w:hAnsi="Calibri"/>
                <w:b w:val="0"/>
                <w:i w:val="0"/>
                <w:color w:val="2E2E2E"/>
                <w:sz w:val="20"/>
              </w:rPr>
              <w:t>Slightly below recent 20%+ growth; conservative</w:t>
            </w:r>
          </w:p>
        </w:tc>
      </w:tr>
      <w:tr>
        <w:tc>
          <w:tcPr>
            <w:tcW w:type="dxa" w:w="4032"/>
            <w:shd w:val="clear" w:color="auto" w:fill="EAF7EE"/>
            <w:vAlign w:val="center"/>
          </w:tcPr>
          <w:p>
            <w:r>
              <w:rPr>
                <w:rFonts w:ascii="Calibri" w:hAnsi="Calibri"/>
                <w:b/>
                <w:i w:val="0"/>
                <w:color w:val="2E2E2E"/>
                <w:sz w:val="20"/>
              </w:rPr>
              <w:t>FY2030E Revenue</w:t>
            </w:r>
          </w:p>
        </w:tc>
        <w:tc>
          <w:tcPr>
            <w:tcW w:type="dxa" w:w="2304"/>
            <w:shd w:val="clear" w:color="auto" w:fill="EAF7EE"/>
            <w:vAlign w:val="center"/>
          </w:tcPr>
          <w:p>
            <w:pPr>
              <w:jc w:val="center"/>
            </w:pPr>
            <w:r>
              <w:rPr>
                <w:rFonts w:ascii="Calibri" w:hAnsi="Calibri"/>
                <w:b w:val="0"/>
                <w:i w:val="0"/>
                <w:color w:val="2E2E2E"/>
                <w:sz w:val="20"/>
              </w:rPr>
              <w:t>$7.7B</w:t>
            </w:r>
          </w:p>
        </w:tc>
        <w:tc>
          <w:tcPr>
            <w:tcW w:type="dxa" w:w="5760"/>
            <w:shd w:val="clear" w:color="auto" w:fill="EAF7EE"/>
            <w:vAlign w:val="center"/>
          </w:tcPr>
          <w:p>
            <w:pPr>
              <w:jc w:val="center"/>
            </w:pPr>
            <w:r>
              <w:rPr>
                <w:rFonts w:ascii="Calibri" w:hAnsi="Calibri"/>
                <w:b w:val="0"/>
                <w:i w:val="0"/>
                <w:color w:val="2E2E2E"/>
                <w:sz w:val="20"/>
              </w:rPr>
              <w:t>Implies $1T SEA economy participation</w:t>
            </w:r>
          </w:p>
        </w:tc>
      </w:tr>
      <w:tr>
        <w:tc>
          <w:tcPr>
            <w:tcW w:type="dxa" w:w="4032"/>
            <w:shd w:val="clear" w:color="auto" w:fill="FFFFFF"/>
            <w:vAlign w:val="center"/>
          </w:tcPr>
          <w:p>
            <w:r>
              <w:rPr>
                <w:rFonts w:ascii="Calibri" w:hAnsi="Calibri"/>
                <w:b/>
                <w:i w:val="0"/>
                <w:color w:val="2E2E2E"/>
                <w:sz w:val="20"/>
              </w:rPr>
              <w:t>Terminal EBITDA Margin (2030)</w:t>
            </w:r>
          </w:p>
        </w:tc>
        <w:tc>
          <w:tcPr>
            <w:tcW w:type="dxa" w:w="2304"/>
            <w:shd w:val="clear" w:color="auto" w:fill="FFFFFF"/>
            <w:vAlign w:val="center"/>
          </w:tcPr>
          <w:p>
            <w:pPr>
              <w:jc w:val="center"/>
            </w:pPr>
            <w:r>
              <w:rPr>
                <w:rFonts w:ascii="Calibri" w:hAnsi="Calibri"/>
                <w:b w:val="0"/>
                <w:i w:val="0"/>
                <w:color w:val="2E2E2E"/>
                <w:sz w:val="20"/>
              </w:rPr>
              <w:t>22%</w:t>
            </w:r>
          </w:p>
        </w:tc>
        <w:tc>
          <w:tcPr>
            <w:tcW w:type="dxa" w:w="5760"/>
            <w:shd w:val="clear" w:color="auto" w:fill="FFFFFF"/>
            <w:vAlign w:val="center"/>
          </w:tcPr>
          <w:p>
            <w:pPr>
              <w:jc w:val="center"/>
            </w:pPr>
            <w:r>
              <w:rPr>
                <w:rFonts w:ascii="Calibri" w:hAnsi="Calibri"/>
                <w:b w:val="0"/>
                <w:i w:val="0"/>
                <w:color w:val="2E2E2E"/>
                <w:sz w:val="20"/>
              </w:rPr>
              <w:t>Consistent with mature food delivery platforms (DoorDash ~15–20%)</w:t>
            </w:r>
          </w:p>
        </w:tc>
      </w:tr>
      <w:tr>
        <w:tc>
          <w:tcPr>
            <w:tcW w:type="dxa" w:w="4032"/>
            <w:shd w:val="clear" w:color="auto" w:fill="EAF7EE"/>
            <w:vAlign w:val="center"/>
          </w:tcPr>
          <w:p>
            <w:r>
              <w:rPr>
                <w:rFonts w:ascii="Calibri" w:hAnsi="Calibri"/>
                <w:b/>
                <w:i w:val="0"/>
                <w:color w:val="2E2E2E"/>
                <w:sz w:val="20"/>
              </w:rPr>
              <w:t>FY2030E EBITDA</w:t>
            </w:r>
          </w:p>
        </w:tc>
        <w:tc>
          <w:tcPr>
            <w:tcW w:type="dxa" w:w="2304"/>
            <w:shd w:val="clear" w:color="auto" w:fill="EAF7EE"/>
            <w:vAlign w:val="center"/>
          </w:tcPr>
          <w:p>
            <w:pPr>
              <w:jc w:val="center"/>
            </w:pPr>
            <w:r>
              <w:rPr>
                <w:rFonts w:ascii="Calibri" w:hAnsi="Calibri"/>
                <w:b w:val="0"/>
                <w:i w:val="0"/>
                <w:color w:val="2E2E2E"/>
                <w:sz w:val="20"/>
              </w:rPr>
              <w:t>$1.7B</w:t>
            </w:r>
          </w:p>
        </w:tc>
        <w:tc>
          <w:tcPr>
            <w:tcW w:type="dxa" w:w="5760"/>
            <w:shd w:val="clear" w:color="auto" w:fill="EAF7EE"/>
            <w:vAlign w:val="center"/>
          </w:tcPr>
          <w:p>
            <w:pPr>
              <w:jc w:val="center"/>
            </w:pPr>
            <w:r>
              <w:rPr>
                <w:rFonts w:ascii="Calibri" w:hAnsi="Calibri"/>
                <w:b w:val="0"/>
                <w:i w:val="0"/>
                <w:color w:val="2E2E2E"/>
                <w:sz w:val="20"/>
              </w:rPr>
            </w:r>
          </w:p>
        </w:tc>
      </w:tr>
      <w:tr>
        <w:tc>
          <w:tcPr>
            <w:tcW w:type="dxa" w:w="4032"/>
            <w:shd w:val="clear" w:color="auto" w:fill="FFFFFF"/>
            <w:vAlign w:val="center"/>
          </w:tcPr>
          <w:p>
            <w:r>
              <w:rPr>
                <w:rFonts w:ascii="Calibri" w:hAnsi="Calibri"/>
                <w:b/>
                <w:i w:val="0"/>
                <w:color w:val="2E2E2E"/>
                <w:sz w:val="20"/>
              </w:rPr>
              <w:t>FCF Conversion (2030)</w:t>
            </w:r>
          </w:p>
        </w:tc>
        <w:tc>
          <w:tcPr>
            <w:tcW w:type="dxa" w:w="2304"/>
            <w:shd w:val="clear" w:color="auto" w:fill="FFFFFF"/>
            <w:vAlign w:val="center"/>
          </w:tcPr>
          <w:p>
            <w:pPr>
              <w:jc w:val="center"/>
            </w:pPr>
            <w:r>
              <w:rPr>
                <w:rFonts w:ascii="Calibri" w:hAnsi="Calibri"/>
                <w:b w:val="0"/>
                <w:i w:val="0"/>
                <w:color w:val="2E2E2E"/>
                <w:sz w:val="20"/>
              </w:rPr>
              <w:t>75%</w:t>
            </w:r>
          </w:p>
        </w:tc>
        <w:tc>
          <w:tcPr>
            <w:tcW w:type="dxa" w:w="5760"/>
            <w:shd w:val="clear" w:color="auto" w:fill="FFFFFF"/>
            <w:vAlign w:val="center"/>
          </w:tcPr>
          <w:p>
            <w:pPr>
              <w:jc w:val="center"/>
            </w:pPr>
            <w:r>
              <w:rPr>
                <w:rFonts w:ascii="Calibri" w:hAnsi="Calibri"/>
                <w:b w:val="0"/>
                <w:i w:val="0"/>
                <w:color w:val="2E2E2E"/>
                <w:sz w:val="20"/>
              </w:rPr>
              <w:t>Consistent with management 80% target by 2028</w:t>
            </w:r>
          </w:p>
        </w:tc>
      </w:tr>
      <w:tr>
        <w:tc>
          <w:tcPr>
            <w:tcW w:type="dxa" w:w="4032"/>
            <w:shd w:val="clear" w:color="auto" w:fill="EAF7EE"/>
            <w:vAlign w:val="center"/>
          </w:tcPr>
          <w:p>
            <w:r>
              <w:rPr>
                <w:rFonts w:ascii="Calibri" w:hAnsi="Calibri"/>
                <w:b/>
                <w:i w:val="0"/>
                <w:color w:val="2E2E2E"/>
                <w:sz w:val="20"/>
              </w:rPr>
              <w:t>Terminal Growth Rate</w:t>
            </w:r>
          </w:p>
        </w:tc>
        <w:tc>
          <w:tcPr>
            <w:tcW w:type="dxa" w:w="2304"/>
            <w:shd w:val="clear" w:color="auto" w:fill="EAF7EE"/>
            <w:vAlign w:val="center"/>
          </w:tcPr>
          <w:p>
            <w:pPr>
              <w:jc w:val="center"/>
            </w:pPr>
            <w:r>
              <w:rPr>
                <w:rFonts w:ascii="Calibri" w:hAnsi="Calibri"/>
                <w:b w:val="0"/>
                <w:i w:val="0"/>
                <w:color w:val="2E2E2E"/>
                <w:sz w:val="20"/>
              </w:rPr>
              <w:t>3%</w:t>
            </w:r>
          </w:p>
        </w:tc>
        <w:tc>
          <w:tcPr>
            <w:tcW w:type="dxa" w:w="5760"/>
            <w:shd w:val="clear" w:color="auto" w:fill="EAF7EE"/>
            <w:vAlign w:val="center"/>
          </w:tcPr>
          <w:p>
            <w:pPr>
              <w:jc w:val="center"/>
            </w:pPr>
            <w:r>
              <w:rPr>
                <w:rFonts w:ascii="Calibri" w:hAnsi="Calibri"/>
                <w:b w:val="0"/>
                <w:i w:val="0"/>
                <w:color w:val="2E2E2E"/>
                <w:sz w:val="20"/>
              </w:rPr>
              <w:t>Long-term nominal GDP growth</w:t>
            </w:r>
          </w:p>
        </w:tc>
      </w:tr>
      <w:tr>
        <w:tc>
          <w:tcPr>
            <w:tcW w:type="dxa" w:w="4032"/>
            <w:shd w:val="clear" w:color="auto" w:fill="FFFFFF"/>
            <w:vAlign w:val="center"/>
          </w:tcPr>
          <w:p>
            <w:r>
              <w:rPr>
                <w:rFonts w:ascii="Calibri" w:hAnsi="Calibri"/>
                <w:b/>
                <w:i w:val="0"/>
                <w:color w:val="2E2E2E"/>
                <w:sz w:val="20"/>
              </w:rPr>
              <w:t>Discount Rate (WACC)</w:t>
            </w:r>
          </w:p>
        </w:tc>
        <w:tc>
          <w:tcPr>
            <w:tcW w:type="dxa" w:w="2304"/>
            <w:shd w:val="clear" w:color="auto" w:fill="FFFFFF"/>
            <w:vAlign w:val="center"/>
          </w:tcPr>
          <w:p>
            <w:pPr>
              <w:jc w:val="center"/>
            </w:pPr>
            <w:r>
              <w:rPr>
                <w:rFonts w:ascii="Calibri" w:hAnsi="Calibri"/>
                <w:b w:val="0"/>
                <w:i w:val="0"/>
                <w:color w:val="2E2E2E"/>
                <w:sz w:val="20"/>
              </w:rPr>
              <w:t>12%</w:t>
            </w:r>
          </w:p>
        </w:tc>
        <w:tc>
          <w:tcPr>
            <w:tcW w:type="dxa" w:w="5760"/>
            <w:shd w:val="clear" w:color="auto" w:fill="FFFFFF"/>
            <w:vAlign w:val="center"/>
          </w:tcPr>
          <w:p>
            <w:pPr>
              <w:jc w:val="center"/>
            </w:pPr>
            <w:r>
              <w:rPr>
                <w:rFonts w:ascii="Calibri" w:hAnsi="Calibri"/>
                <w:b w:val="0"/>
                <w:i w:val="0"/>
                <w:color w:val="2E2E2E"/>
                <w:sz w:val="20"/>
              </w:rPr>
              <w:t>Reflects EM risk premium</w:t>
            </w:r>
          </w:p>
        </w:tc>
      </w:tr>
      <w:tr>
        <w:tc>
          <w:tcPr>
            <w:tcW w:type="dxa" w:w="4032"/>
            <w:shd w:val="clear" w:color="auto" w:fill="EAF7EE"/>
            <w:vAlign w:val="center"/>
          </w:tcPr>
          <w:p>
            <w:r>
              <w:rPr>
                <w:rFonts w:ascii="Calibri" w:hAnsi="Calibri"/>
                <w:b/>
                <w:i w:val="0"/>
                <w:color w:val="2E2E2E"/>
                <w:sz w:val="20"/>
              </w:rPr>
              <w:t>Implied Enterprise Value</w:t>
            </w:r>
          </w:p>
        </w:tc>
        <w:tc>
          <w:tcPr>
            <w:tcW w:type="dxa" w:w="2304"/>
            <w:shd w:val="clear" w:color="auto" w:fill="EAF7EE"/>
            <w:vAlign w:val="center"/>
          </w:tcPr>
          <w:p>
            <w:pPr>
              <w:jc w:val="center"/>
            </w:pPr>
            <w:r>
              <w:rPr>
                <w:rFonts w:ascii="Calibri" w:hAnsi="Calibri"/>
                <w:b w:val="0"/>
                <w:i w:val="0"/>
                <w:color w:val="2E2E2E"/>
                <w:sz w:val="20"/>
              </w:rPr>
              <w:t>~$15–18B</w:t>
            </w:r>
          </w:p>
        </w:tc>
        <w:tc>
          <w:tcPr>
            <w:tcW w:type="dxa" w:w="5760"/>
            <w:shd w:val="clear" w:color="auto" w:fill="EAF7EE"/>
            <w:vAlign w:val="center"/>
          </w:tcPr>
          <w:p>
            <w:pPr>
              <w:jc w:val="center"/>
            </w:pPr>
            <w:r>
              <w:rPr>
                <w:rFonts w:ascii="Calibri" w:hAnsi="Calibri"/>
                <w:b w:val="0"/>
                <w:i w:val="0"/>
                <w:color w:val="2E2E2E"/>
                <w:sz w:val="20"/>
              </w:rPr>
              <w:t>Sum of discounted FCFs + terminal value</w:t>
            </w:r>
          </w:p>
        </w:tc>
      </w:tr>
      <w:tr>
        <w:tc>
          <w:tcPr>
            <w:tcW w:type="dxa" w:w="4032"/>
            <w:shd w:val="clear" w:color="auto" w:fill="FFFFFF"/>
            <w:vAlign w:val="center"/>
          </w:tcPr>
          <w:p>
            <w:r>
              <w:rPr>
                <w:rFonts w:ascii="Calibri" w:hAnsi="Calibri"/>
                <w:b/>
                <w:i w:val="0"/>
                <w:color w:val="2E2E2E"/>
                <w:sz w:val="20"/>
              </w:rPr>
              <w:t>Add: Net Cash ($5.4B)</w:t>
            </w:r>
          </w:p>
        </w:tc>
        <w:tc>
          <w:tcPr>
            <w:tcW w:type="dxa" w:w="2304"/>
            <w:shd w:val="clear" w:color="auto" w:fill="FFFFFF"/>
            <w:vAlign w:val="center"/>
          </w:tcPr>
          <w:p>
            <w:pPr>
              <w:jc w:val="center"/>
            </w:pPr>
            <w:r>
              <w:rPr>
                <w:rFonts w:ascii="Calibri" w:hAnsi="Calibri"/>
                <w:b w:val="0"/>
                <w:i w:val="0"/>
                <w:color w:val="2E2E2E"/>
                <w:sz w:val="20"/>
              </w:rPr>
              <w:t>~$5.4B</w:t>
            </w:r>
          </w:p>
        </w:tc>
        <w:tc>
          <w:tcPr>
            <w:tcW w:type="dxa" w:w="5760"/>
            <w:shd w:val="clear" w:color="auto" w:fill="FFFFFF"/>
            <w:vAlign w:val="center"/>
          </w:tcPr>
          <w:p>
            <w:pPr>
              <w:jc w:val="center"/>
            </w:pPr>
            <w:r>
              <w:rPr>
                <w:rFonts w:ascii="Calibri" w:hAnsi="Calibri"/>
                <w:b w:val="0"/>
                <w:i w:val="0"/>
                <w:color w:val="2E2E2E"/>
                <w:sz w:val="20"/>
              </w:rPr>
            </w:r>
          </w:p>
        </w:tc>
      </w:tr>
      <w:tr>
        <w:tc>
          <w:tcPr>
            <w:tcW w:type="dxa" w:w="4032"/>
            <w:shd w:val="clear" w:color="auto" w:fill="EAF7EE"/>
            <w:vAlign w:val="center"/>
          </w:tcPr>
          <w:p>
            <w:r>
              <w:rPr>
                <w:rFonts w:ascii="Calibri" w:hAnsi="Calibri"/>
                <w:b/>
                <w:i w:val="0"/>
                <w:color w:val="2E2E2E"/>
                <w:sz w:val="20"/>
              </w:rPr>
              <w:t>Implied Equity Value</w:t>
            </w:r>
          </w:p>
        </w:tc>
        <w:tc>
          <w:tcPr>
            <w:tcW w:type="dxa" w:w="2304"/>
            <w:shd w:val="clear" w:color="auto" w:fill="EAF7EE"/>
            <w:vAlign w:val="center"/>
          </w:tcPr>
          <w:p>
            <w:pPr>
              <w:jc w:val="center"/>
            </w:pPr>
            <w:r>
              <w:rPr>
                <w:rFonts w:ascii="Calibri" w:hAnsi="Calibri"/>
                <w:b w:val="0"/>
                <w:i w:val="0"/>
                <w:color w:val="2E2E2E"/>
                <w:sz w:val="20"/>
              </w:rPr>
              <w:t>~$20–23B</w:t>
            </w:r>
          </w:p>
        </w:tc>
        <w:tc>
          <w:tcPr>
            <w:tcW w:type="dxa" w:w="5760"/>
            <w:shd w:val="clear" w:color="auto" w:fill="EAF7EE"/>
            <w:vAlign w:val="center"/>
          </w:tcPr>
          <w:p>
            <w:pPr>
              <w:jc w:val="center"/>
            </w:pPr>
            <w:r>
              <w:rPr>
                <w:rFonts w:ascii="Calibri" w:hAnsi="Calibri"/>
                <w:b w:val="0"/>
                <w:i w:val="0"/>
                <w:color w:val="2E2E2E"/>
                <w:sz w:val="20"/>
              </w:rPr>
            </w:r>
          </w:p>
        </w:tc>
      </w:tr>
      <w:tr>
        <w:tc>
          <w:tcPr>
            <w:tcW w:type="dxa" w:w="4032"/>
            <w:shd w:val="clear" w:color="auto" w:fill="FFFFFF"/>
            <w:vAlign w:val="center"/>
          </w:tcPr>
          <w:p>
            <w:r>
              <w:rPr>
                <w:rFonts w:ascii="Calibri" w:hAnsi="Calibri"/>
                <w:b/>
                <w:i w:val="0"/>
                <w:color w:val="2E2E2E"/>
                <w:sz w:val="20"/>
              </w:rPr>
              <w:t>Implied Share Price</w:t>
            </w:r>
          </w:p>
        </w:tc>
        <w:tc>
          <w:tcPr>
            <w:tcW w:type="dxa" w:w="2304"/>
            <w:shd w:val="clear" w:color="auto" w:fill="FFFFFF"/>
            <w:vAlign w:val="center"/>
          </w:tcPr>
          <w:p>
            <w:pPr>
              <w:jc w:val="center"/>
            </w:pPr>
            <w:r>
              <w:rPr>
                <w:rFonts w:ascii="Calibri" w:hAnsi="Calibri"/>
                <w:b w:val="0"/>
                <w:i w:val="0"/>
                <w:color w:val="2E2E2E"/>
                <w:sz w:val="20"/>
              </w:rPr>
              <w:t>$5.25–6.00</w:t>
            </w:r>
          </w:p>
        </w:tc>
        <w:tc>
          <w:tcPr>
            <w:tcW w:type="dxa" w:w="5760"/>
            <w:shd w:val="clear" w:color="auto" w:fill="FFFFFF"/>
            <w:vAlign w:val="center"/>
          </w:tcPr>
          <w:p>
            <w:pPr>
              <w:jc w:val="center"/>
            </w:pPr>
            <w:r>
              <w:rPr>
                <w:rFonts w:ascii="Calibri" w:hAnsi="Calibri"/>
                <w:b w:val="0"/>
                <w:i w:val="0"/>
                <w:color w:val="2E2E2E"/>
                <w:sz w:val="20"/>
              </w:rPr>
              <w:t>Based on ~3.9B diluted shares</w:t>
            </w:r>
          </w:p>
        </w:tc>
      </w:tr>
    </w:tbl>
    <w:p>
      <w:pPr>
        <w:spacing w:before="0" w:after="120"/>
      </w:pPr>
    </w:p>
    <w:p>
      <w:pPr>
        <w:spacing w:before="0" w:after="80"/>
      </w:pPr>
      <w:r>
        <w:rPr>
          <w:rFonts w:ascii="Calibri" w:hAnsi="Calibri"/>
          <w:b w:val="0"/>
          <w:i w:val="0"/>
          <w:color w:val="2E2E2E"/>
          <w:sz w:val="21"/>
        </w:rPr>
        <w:t>The DCF analysis yields an intrinsic value of approximately $5.25–6.00 per share under conservative assumptions, rising to $7–9 under base-case growth scenarios. The current stock price of ~$3.85 implies a significant margin of safety relative to even the conservative DCF, suggesting the market is not yet pricing in the full profitability inflection.</w:t>
      </w:r>
    </w:p>
    <w:p>
      <w:r>
        <w:br w:type="page"/>
      </w:r>
    </w:p>
    <w:p>
      <w:pPr>
        <w:spacing w:before="280" w:after="80"/>
        <w:pBdr>
          <w:bottom w:val="single" w:sz="6" w:space="1" w:color="00B14F"/>
        </w:pBdr>
      </w:pPr>
      <w:r>
        <w:rPr>
          <w:rFonts w:ascii="Calibri" w:hAnsi="Calibri"/>
          <w:b/>
          <w:i w:val="0"/>
          <w:color w:val="00B14F"/>
          <w:sz w:val="30"/>
        </w:rPr>
        <w:t>PHASE 8 — RECENT NEWS &amp; CATALYSTS (2025–2026)</w:t>
      </w:r>
    </w:p>
    <w:p>
      <w:pPr>
        <w:spacing w:before="200" w:after="60"/>
      </w:pPr>
      <w:r>
        <w:rPr>
          <w:rFonts w:ascii="Calibri" w:hAnsi="Calibri"/>
          <w:b/>
          <w:i w:val="0"/>
          <w:color w:val="2E2E2E"/>
          <w:sz w:val="24"/>
        </w:rPr>
        <w:t>Q4 &amp; FY2025 Results — Landmark Milestone</w:t>
      </w:r>
    </w:p>
    <w:p>
      <w:pPr>
        <w:spacing w:before="0" w:after="80"/>
      </w:pPr>
      <w:r>
        <w:rPr>
          <w:rFonts w:ascii="Calibri" w:hAnsi="Calibri"/>
          <w:b w:val="0"/>
          <w:i w:val="0"/>
          <w:color w:val="2E2E2E"/>
          <w:sz w:val="21"/>
        </w:rPr>
        <w:t>The February 2026 release of FY2025 results was a defining moment for Grab's investment story. The company reported: revenue of $3.37B (+20% YoY), net income of $200M (its first full-year GAAP profit), Adjusted EBITDA of $500M, Adjusted FCF of $290M, and a record 50.5M Monthly Transacting Users. Q4 2025 alone generated $906M in revenue and $6.1B in On-Demand GMV (both records). Management also set FY2026 guidance of $4.04–4.10B revenue and $700–720M Adjusted EBITDA, implying continued 20%+ revenue growth and ~44% EBITDA growth.</w:t>
      </w:r>
    </w:p>
    <w:p>
      <w:pPr>
        <w:spacing w:before="200" w:after="60"/>
      </w:pPr>
      <w:r>
        <w:rPr>
          <w:rFonts w:ascii="Calibri" w:hAnsi="Calibri"/>
          <w:b/>
          <w:i w:val="0"/>
          <w:color w:val="2E2E2E"/>
          <w:sz w:val="24"/>
        </w:rPr>
        <w:t>New $500M Share Buyback Programme</w:t>
      </w:r>
    </w:p>
    <w:p>
      <w:pPr>
        <w:spacing w:before="0" w:after="80"/>
      </w:pPr>
      <w:r>
        <w:rPr>
          <w:rFonts w:ascii="Calibri" w:hAnsi="Calibri"/>
          <w:b w:val="0"/>
          <w:i w:val="0"/>
          <w:color w:val="2E2E2E"/>
          <w:sz w:val="21"/>
        </w:rPr>
        <w:t>Concurrent with the FY2025 results, the board authorised a new $500M share repurchase programme. Additionally, Grab committed to deploying up to $400M in 2026 via an accelerated share repurchase and contingent forward, funded from the $5.4B net cash position. This signals management's conviction that the stock is undervalued and marks a significant capital returns inflection for a company that was burning cash as recently as 2023.</w:t>
      </w:r>
    </w:p>
    <w:p>
      <w:pPr>
        <w:spacing w:before="200" w:after="60"/>
      </w:pPr>
      <w:r>
        <w:rPr>
          <w:rFonts w:ascii="Calibri" w:hAnsi="Calibri"/>
          <w:b/>
          <w:i w:val="0"/>
          <w:color w:val="2E2E2E"/>
          <w:sz w:val="24"/>
        </w:rPr>
        <w:t>Infermove Acquisition — AI Robotics</w:t>
      </w:r>
    </w:p>
    <w:p>
      <w:pPr>
        <w:spacing w:before="0" w:after="80"/>
      </w:pPr>
      <w:r>
        <w:rPr>
          <w:rFonts w:ascii="Calibri" w:hAnsi="Calibri"/>
          <w:b w:val="0"/>
          <w:i w:val="0"/>
          <w:color w:val="2E2E2E"/>
          <w:sz w:val="21"/>
        </w:rPr>
        <w:t>In late 2025, Grab acquired Infermove, a Chinese AI robotics startup specialising in automated delivery systems. The acquisition underscores Grab's ambition to use AI and robotics to reduce the cost of last-mile delivery — one of the highest-cost components of the food delivery business. If successfully deployed, AI-enabled routing and automated delivery hubs could meaningfully compress costs and improve delivery margins over the medium term.</w:t>
      </w:r>
    </w:p>
    <w:p>
      <w:pPr>
        <w:spacing w:before="200" w:after="60"/>
      </w:pPr>
      <w:r>
        <w:rPr>
          <w:rFonts w:ascii="Calibri" w:hAnsi="Calibri"/>
          <w:b/>
          <w:i w:val="0"/>
          <w:color w:val="2E2E2E"/>
          <w:sz w:val="24"/>
        </w:rPr>
        <w:t>GoTo Merger Developments</w:t>
      </w:r>
    </w:p>
    <w:p>
      <w:pPr>
        <w:spacing w:before="0" w:after="80"/>
      </w:pPr>
      <w:r>
        <w:rPr>
          <w:rFonts w:ascii="Calibri" w:hAnsi="Calibri"/>
          <w:b w:val="0"/>
          <w:i w:val="0"/>
          <w:color w:val="2E2E2E"/>
          <w:sz w:val="21"/>
        </w:rPr>
        <w:t>The proposed Grab-GoTo combination generated significant news flow throughout 2025. GoTo initially denied merger discussions in a February 2025 filing, but subsequent reports throughout 2025 indicated discussions resumed under pressure from major shareholders and with Indonesian government (Danantara) involvement exploring a 'golden share' structure. Indonesia's antitrust chief (KPPU) issued a stern warning that the combination could create a digital monopoly controlling 90%+ of key markets and would face rigorous scrutiny. As of March 2026, the deal appears paused but not abandoned. The outcome remains a key binary catalyst for Grab stock — a successful deal could be worth $1–2 per share in additional value; a definitive rejection removes uncertainty and allows both companies to compete independently.</w:t>
      </w:r>
    </w:p>
    <w:p>
      <w:pPr>
        <w:spacing w:before="200" w:after="60"/>
      </w:pPr>
      <w:r>
        <w:rPr>
          <w:rFonts w:ascii="Calibri" w:hAnsi="Calibri"/>
          <w:b/>
          <w:i w:val="0"/>
          <w:color w:val="2E2E2E"/>
          <w:sz w:val="24"/>
        </w:rPr>
        <w:t>GrabFin Loan Book — $1 Billion Milestone</w:t>
      </w:r>
    </w:p>
    <w:p>
      <w:pPr>
        <w:spacing w:before="0" w:after="80"/>
      </w:pPr>
      <w:r>
        <w:rPr>
          <w:rFonts w:ascii="Calibri" w:hAnsi="Calibri"/>
          <w:b w:val="0"/>
          <w:i w:val="0"/>
          <w:color w:val="2E2E2E"/>
          <w:sz w:val="21"/>
        </w:rPr>
        <w:t>Grab targeted and likely achieved a loan book exceeding $1 billion across GrabFin and its digital banks by end of 2025. Digital bank deposits surpassed $1.2B, driven primarily by GX Bank Berhad in Malaysia — which became the country's first and fastest-growing digital bank. This milestone cements financial services as a credible, large-scale business for Grab — moving beyond a 'feature' to a meaningful profit centre with substantial expansion potential.</w:t>
      </w:r>
    </w:p>
    <w:p>
      <w:pPr>
        <w:spacing w:before="200" w:after="60"/>
      </w:pPr>
      <w:r>
        <w:rPr>
          <w:rFonts w:ascii="Calibri" w:hAnsi="Calibri"/>
          <w:b/>
          <w:i w:val="0"/>
          <w:color w:val="2E2E2E"/>
          <w:sz w:val="24"/>
        </w:rPr>
        <w:t>Board Refresh (December 2025)</w:t>
      </w:r>
    </w:p>
    <w:p>
      <w:pPr>
        <w:spacing w:before="0" w:after="80"/>
      </w:pPr>
      <w:r>
        <w:rPr>
          <w:rFonts w:ascii="Calibri" w:hAnsi="Calibri"/>
          <w:b w:val="0"/>
          <w:i w:val="0"/>
          <w:color w:val="2E2E2E"/>
          <w:sz w:val="21"/>
        </w:rPr>
        <w:t>Grab announced a board composition refresh effective December 1, 2025, adding new independent directors with expertise in financial services and technology. This follows ongoing institutional investor pressure for improved governance practices and more balanced oversight of the dual-class structure.</w:t>
      </w:r>
    </w:p>
    <w:p>
      <w:pPr>
        <w:spacing w:before="200" w:after="60"/>
      </w:pPr>
      <w:r>
        <w:rPr>
          <w:rFonts w:ascii="Calibri" w:hAnsi="Calibri"/>
          <w:b/>
          <w:i w:val="0"/>
          <w:color w:val="2E2E2E"/>
          <w:sz w:val="24"/>
        </w:rPr>
        <w:t>Grab's ASEAN Food Delivery Share Hits 55% (Nikkei Asia, 2025)</w:t>
      </w:r>
    </w:p>
    <w:p>
      <w:pPr>
        <w:spacing w:before="0" w:after="80"/>
      </w:pPr>
      <w:r>
        <w:rPr>
          <w:rFonts w:ascii="Calibri" w:hAnsi="Calibri"/>
          <w:b w:val="0"/>
          <w:i w:val="0"/>
          <w:color w:val="2E2E2E"/>
          <w:sz w:val="21"/>
        </w:rPr>
        <w:t>An independent survey published by Nikkei Asia confirmed Grab's food delivery market share across ASEAN rose to 55% in 2025, up from approximately 54% in 2024. This market share improvement — achieved during a period of heightened competition from ShopeeFood — validates the resilience of Grab's network effects and brand positioning. ShopeeFood rose to second place with 14% share, surpassing Foodpanda.</w:t>
      </w:r>
    </w:p>
    <w:p>
      <w:r>
        <w:br w:type="page"/>
      </w:r>
    </w:p>
    <w:p>
      <w:pPr>
        <w:spacing w:before="280" w:after="80"/>
        <w:pBdr>
          <w:bottom w:val="single" w:sz="6" w:space="1" w:color="00B14F"/>
        </w:pBdr>
      </w:pPr>
      <w:r>
        <w:rPr>
          <w:rFonts w:ascii="Calibri" w:hAnsi="Calibri"/>
          <w:b/>
          <w:i w:val="0"/>
          <w:color w:val="00B14F"/>
          <w:sz w:val="30"/>
        </w:rPr>
        <w:t>INVESTMENT SUMMARY &amp; THESIS</w:t>
      </w:r>
    </w:p>
    <w:p>
      <w:pPr>
        <w:spacing w:before="200" w:after="60"/>
      </w:pPr>
      <w:r>
        <w:rPr>
          <w:rFonts w:ascii="Calibri" w:hAnsi="Calibri"/>
          <w:b/>
          <w:i w:val="0"/>
          <w:color w:val="2E2E2E"/>
          <w:sz w:val="24"/>
        </w:rPr>
        <w:t>The Multi-Bagger Thesis</w:t>
      </w:r>
    </w:p>
    <w:p>
      <w:pPr>
        <w:spacing w:before="0" w:after="80"/>
      </w:pPr>
      <w:r>
        <w:rPr>
          <w:rFonts w:ascii="Calibri" w:hAnsi="Calibri"/>
          <w:b w:val="0"/>
          <w:i w:val="0"/>
          <w:color w:val="2E2E2E"/>
          <w:sz w:val="21"/>
        </w:rPr>
        <w:t>Grab represents a compelling multi-year investment opportunity at current valuations for the following reasons:</w:t>
      </w:r>
    </w:p>
    <w:p>
      <w:pPr>
        <w:pStyle w:val="ListBullet"/>
        <w:spacing w:before="0" w:after="60"/>
      </w:pPr>
      <w:r>
        <w:rPr>
          <w:rFonts w:ascii="Calibri" w:hAnsi="Calibri"/>
          <w:b/>
          <w:i w:val="0"/>
          <w:color w:val="2E2E2E"/>
          <w:sz w:val="21"/>
        </w:rPr>
        <w:t xml:space="preserve">1. </w:t>
      </w:r>
      <w:r>
        <w:rPr>
          <w:rFonts w:ascii="Calibri" w:hAnsi="Calibri"/>
          <w:b w:val="0"/>
          <w:i w:val="0"/>
          <w:color w:val="2E2E2E"/>
          <w:sz w:val="21"/>
        </w:rPr>
        <w:t>Profitability inflection confirmed: FY2025's first GAAP profitable year with $200M net income validates years of investment in operating leverage. The path to $1.5B Adjusted EBITDA by 2028 is credible given 15 consecutive quarters of EBITDA growth.</w:t>
      </w:r>
    </w:p>
    <w:p>
      <w:pPr>
        <w:pStyle w:val="ListBullet"/>
        <w:spacing w:before="0" w:after="60"/>
      </w:pPr>
      <w:r>
        <w:rPr>
          <w:rFonts w:ascii="Calibri" w:hAnsi="Calibri"/>
          <w:b/>
          <w:i w:val="0"/>
          <w:color w:val="2E2E2E"/>
          <w:sz w:val="21"/>
        </w:rPr>
        <w:t xml:space="preserve">2. </w:t>
      </w:r>
      <w:r>
        <w:rPr>
          <w:rFonts w:ascii="Calibri" w:hAnsi="Calibri"/>
          <w:b w:val="0"/>
          <w:i w:val="0"/>
          <w:color w:val="2E2E2E"/>
          <w:sz w:val="21"/>
        </w:rPr>
        <w:t>Dominant market position in a structural growth market: 54–55% food delivery share and ~65–70% ride-hailing share in a market growing toward $1T GMV by 2030. Penetration rates remain a fraction of developed market comparables.</w:t>
      </w:r>
    </w:p>
    <w:p>
      <w:pPr>
        <w:pStyle w:val="ListBullet"/>
        <w:spacing w:before="0" w:after="60"/>
      </w:pPr>
      <w:r>
        <w:rPr>
          <w:rFonts w:ascii="Calibri" w:hAnsi="Calibri"/>
          <w:b/>
          <w:i w:val="0"/>
          <w:color w:val="2E2E2E"/>
          <w:sz w:val="21"/>
        </w:rPr>
        <w:t xml:space="preserve">3. </w:t>
      </w:r>
      <w:r>
        <w:rPr>
          <w:rFonts w:ascii="Calibri" w:hAnsi="Calibri"/>
          <w:b w:val="0"/>
          <w:i w:val="0"/>
          <w:color w:val="2E2E2E"/>
          <w:sz w:val="21"/>
        </w:rPr>
        <w:t>GrabFin is a Decade-Long Optionality Unlock: With 400M+ underbanked people in SEA and Grab's unique advantage in data, distribution, and digital banking licences, financial services could ultimately become larger than mobility and deliveries combined.</w:t>
      </w:r>
    </w:p>
    <w:p>
      <w:pPr>
        <w:pStyle w:val="ListBullet"/>
        <w:spacing w:before="0" w:after="60"/>
      </w:pPr>
      <w:r>
        <w:rPr>
          <w:rFonts w:ascii="Calibri" w:hAnsi="Calibri"/>
          <w:b/>
          <w:i w:val="0"/>
          <w:color w:val="2E2E2E"/>
          <w:sz w:val="21"/>
        </w:rPr>
        <w:t xml:space="preserve">4. </w:t>
      </w:r>
      <w:r>
        <w:rPr>
          <w:rFonts w:ascii="Calibri" w:hAnsi="Calibri"/>
          <w:b w:val="0"/>
          <w:i w:val="0"/>
          <w:color w:val="2E2E2E"/>
          <w:sz w:val="21"/>
        </w:rPr>
        <w:t>Fortress balance sheet: ~$5.4B net cash (36% of market cap) provides strategic flexibility for buybacks, M&amp;A, and lending capital — while eliminating bankruptcy risk that plagued earlier-stage iterations of the company.</w:t>
      </w:r>
    </w:p>
    <w:p>
      <w:pPr>
        <w:pStyle w:val="ListBullet"/>
        <w:spacing w:before="0" w:after="60"/>
      </w:pPr>
      <w:r>
        <w:rPr>
          <w:rFonts w:ascii="Calibri" w:hAnsi="Calibri"/>
          <w:b/>
          <w:i w:val="0"/>
          <w:color w:val="2E2E2E"/>
          <w:sz w:val="21"/>
        </w:rPr>
        <w:t xml:space="preserve">5. </w:t>
      </w:r>
      <w:r>
        <w:rPr>
          <w:rFonts w:ascii="Calibri" w:hAnsi="Calibri"/>
          <w:b w:val="0"/>
          <w:i w:val="0"/>
          <w:color w:val="2E2E2E"/>
          <w:sz w:val="21"/>
        </w:rPr>
        <w:t>Valuation offers substantial upside: EV/FY2026E EBITDA of ~13.5x and EV/Revenue of ~2.3x are undemanding for a platform growing revenue 20%+ with improving margins. Average analyst price target of ~$6.75 implies ~75% upside from current levels.</w:t>
      </w:r>
    </w:p>
    <w:p>
      <w:pPr>
        <w:pStyle w:val="ListBullet"/>
        <w:spacing w:before="0" w:after="60"/>
      </w:pPr>
      <w:r>
        <w:rPr>
          <w:rFonts w:ascii="Calibri" w:hAnsi="Calibri"/>
          <w:b/>
          <w:i w:val="0"/>
          <w:color w:val="2E2E2E"/>
          <w:sz w:val="21"/>
        </w:rPr>
        <w:t xml:space="preserve">6. </w:t>
      </w:r>
      <w:r>
        <w:rPr>
          <w:rFonts w:ascii="Calibri" w:hAnsi="Calibri"/>
          <w:b w:val="0"/>
          <w:i w:val="0"/>
          <w:color w:val="2E2E2E"/>
          <w:sz w:val="21"/>
        </w:rPr>
        <w:t>GoTo merger remains a high-conviction upside catalyst: A successful Grab-GoTo combination (even with structural remedies) could eliminate the most capital-intensive competitive battleground in SEA tech and dramatically accelerate Grab's path to industry-leading margins.</w:t>
      </w:r>
    </w:p>
    <w:p>
      <w:pPr>
        <w:spacing w:before="200" w:after="60"/>
      </w:pPr>
      <w:r>
        <w:rPr>
          <w:rFonts w:ascii="Calibri" w:hAnsi="Calibri"/>
          <w:b/>
          <w:i w:val="0"/>
          <w:color w:val="2E2E2E"/>
          <w:sz w:val="24"/>
        </w:rPr>
        <w:t>Key Risks to Monitor</w:t>
      </w:r>
    </w:p>
    <w:p>
      <w:pPr>
        <w:pStyle w:val="ListBullet"/>
        <w:spacing w:before="0" w:after="60"/>
      </w:pPr>
      <w:r>
        <w:rPr>
          <w:rFonts w:ascii="Calibri" w:hAnsi="Calibri"/>
          <w:b w:val="0"/>
          <w:i w:val="0"/>
          <w:color w:val="2E2E2E"/>
          <w:sz w:val="21"/>
        </w:rPr>
        <w:t>Incentive spending trends — particularly in Vietnam and Indonesia vs. ShopeeFood</w:t>
      </w:r>
    </w:p>
    <w:p>
      <w:pPr>
        <w:pStyle w:val="ListBullet"/>
        <w:spacing w:before="0" w:after="60"/>
      </w:pPr>
      <w:r>
        <w:rPr>
          <w:rFonts w:ascii="Calibri" w:hAnsi="Calibri"/>
          <w:b w:val="0"/>
          <w:i w:val="0"/>
          <w:color w:val="2E2E2E"/>
          <w:sz w:val="21"/>
        </w:rPr>
        <w:t>GrabFin loan portfolio credit quality as the book scales through $1B+</w:t>
      </w:r>
    </w:p>
    <w:p>
      <w:pPr>
        <w:pStyle w:val="ListBullet"/>
        <w:spacing w:before="0" w:after="60"/>
      </w:pPr>
      <w:r>
        <w:rPr>
          <w:rFonts w:ascii="Calibri" w:hAnsi="Calibri"/>
          <w:b w:val="0"/>
          <w:i w:val="0"/>
          <w:color w:val="2E2E2E"/>
          <w:sz w:val="21"/>
        </w:rPr>
        <w:t>GoTo merger regulatory outcome — binary and material</w:t>
      </w:r>
    </w:p>
    <w:p>
      <w:pPr>
        <w:pStyle w:val="ListBullet"/>
        <w:spacing w:before="0" w:after="60"/>
      </w:pPr>
      <w:r>
        <w:rPr>
          <w:rFonts w:ascii="Calibri" w:hAnsi="Calibri"/>
          <w:b w:val="0"/>
          <w:i w:val="0"/>
          <w:color w:val="2E2E2E"/>
          <w:sz w:val="21"/>
        </w:rPr>
        <w:t>SEA macro environment — FX moves, consumer spending power</w:t>
      </w:r>
    </w:p>
    <w:p>
      <w:pPr>
        <w:pStyle w:val="ListBullet"/>
        <w:spacing w:before="0" w:after="60"/>
      </w:pPr>
      <w:r>
        <w:rPr>
          <w:rFonts w:ascii="Calibri" w:hAnsi="Calibri"/>
          <w:b w:val="0"/>
          <w:i w:val="0"/>
          <w:color w:val="2E2E2E"/>
          <w:sz w:val="21"/>
        </w:rPr>
        <w:t>Anthony Tan's capital allocation decisions under dual-class control</w:t>
      </w:r>
    </w:p>
    <w:p>
      <w:pPr>
        <w:spacing w:before="200" w:after="60"/>
      </w:pPr>
      <w:r>
        <w:rPr>
          <w:rFonts w:ascii="Calibri" w:hAnsi="Calibri"/>
          <w:b/>
          <w:i w:val="0"/>
          <w:color w:val="2E2E2E"/>
          <w:sz w:val="24"/>
        </w:rPr>
        <w:t>Rating &amp; Price Target</w:t>
      </w:r>
    </w:p>
    <w:p>
      <w:pPr>
        <w:spacing w:before="120" w:after="120"/>
      </w:pPr>
      <w:r>
        <w:rPr>
          <w:rFonts w:ascii="Calibri" w:hAnsi="Calibri"/>
          <w:b/>
          <w:i w:val="0"/>
          <w:color w:val="00B14F"/>
          <w:sz w:val="24"/>
        </w:rPr>
        <w:t>OUTPERFORM  |  12-Month Price Target: $6.75  |  Current: ~$3.85  |  Implied Upside: ~75%</w:t>
      </w:r>
    </w:p>
    <w:p>
      <w:pPr>
        <w:spacing w:before="0" w:after="80"/>
      </w:pPr>
      <w:r>
        <w:rPr>
          <w:rFonts w:ascii="Calibri" w:hAnsi="Calibri"/>
          <w:b w:val="0"/>
          <w:i w:val="0"/>
          <w:color w:val="2E2E2E"/>
          <w:sz w:val="21"/>
        </w:rPr>
        <w:t>Our price target of $6.75 is based on a blended average of (a) our DCF base case ($5.50–6.00), (b) peer-relative EV/EBITDA valuation on FY2027E EBITDA (~$1.1B) at 15x = ~$7.00, and (c) analyst consensus of $6.50–6.96. Given the first confirmed GAAP-profitable year, improving FCF, $5.4B net cash (providing downside protection), and dominant competitive position, we view the risk/reward as highly favourable at current levels.</w:t>
      </w:r>
    </w:p>
    <w:p>
      <w:r>
        <w:br w:type="page"/>
      </w:r>
    </w:p>
    <w:p>
      <w:pPr>
        <w:spacing w:before="280" w:after="80"/>
        <w:pBdr>
          <w:bottom w:val="single" w:sz="6" w:space="1" w:color="00B14F"/>
        </w:pBdr>
      </w:pPr>
      <w:r>
        <w:rPr>
          <w:rFonts w:ascii="Calibri" w:hAnsi="Calibri"/>
          <w:b/>
          <w:i w:val="0"/>
          <w:color w:val="00B14F"/>
          <w:sz w:val="30"/>
        </w:rPr>
        <w:t>SOURCES &amp; REFERENCES</w:t>
      </w:r>
    </w:p>
    <w:p>
      <w:pPr>
        <w:pStyle w:val="ListBullet"/>
        <w:spacing w:before="0" w:after="60"/>
      </w:pPr>
      <w:r>
        <w:rPr>
          <w:rFonts w:ascii="Calibri" w:hAnsi="Calibri"/>
          <w:b w:val="0"/>
          <w:i w:val="0"/>
          <w:color w:val="555555"/>
          <w:sz w:val="19"/>
        </w:rPr>
        <w:t>Grab Holdings FY2024 &amp; Q4 2024 Earnings Press Release — investors.grab.com (February 2025)</w:t>
      </w:r>
    </w:p>
    <w:p>
      <w:pPr>
        <w:pStyle w:val="ListBullet"/>
        <w:spacing w:before="0" w:after="60"/>
      </w:pPr>
      <w:r>
        <w:rPr>
          <w:rFonts w:ascii="Calibri" w:hAnsi="Calibri"/>
          <w:b w:val="0"/>
          <w:i w:val="0"/>
          <w:color w:val="555555"/>
          <w:sz w:val="19"/>
        </w:rPr>
        <w:t>Grab Holdings FY2025 &amp; Q4 2025 Earnings Press Release — grab.com/sg/press (February 2026)</w:t>
      </w:r>
    </w:p>
    <w:p>
      <w:pPr>
        <w:pStyle w:val="ListBullet"/>
        <w:spacing w:before="0" w:after="60"/>
      </w:pPr>
      <w:r>
        <w:rPr>
          <w:rFonts w:ascii="Calibri" w:hAnsi="Calibri"/>
          <w:b w:val="0"/>
          <w:i w:val="0"/>
          <w:color w:val="555555"/>
          <w:sz w:val="19"/>
        </w:rPr>
        <w:t>Grab Holdings Q3 2025 Earnings Press Release &amp; Prepared Remarks — SEC EDGAR / s205.q4cdn.com (November 2025)</w:t>
      </w:r>
    </w:p>
    <w:p>
      <w:pPr>
        <w:pStyle w:val="ListBullet"/>
        <w:spacing w:before="0" w:after="60"/>
      </w:pPr>
      <w:r>
        <w:rPr>
          <w:rFonts w:ascii="Calibri" w:hAnsi="Calibri"/>
          <w:b w:val="0"/>
          <w:i w:val="0"/>
          <w:color w:val="555555"/>
          <w:sz w:val="19"/>
        </w:rPr>
        <w:t>Grab Holdings Q3 2024 Earnings Press Release — investors.grab.com (November 2024)</w:t>
      </w:r>
    </w:p>
    <w:p>
      <w:pPr>
        <w:pStyle w:val="ListBullet"/>
        <w:spacing w:before="0" w:after="60"/>
      </w:pPr>
      <w:r>
        <w:rPr>
          <w:rFonts w:ascii="Calibri" w:hAnsi="Calibri"/>
          <w:b w:val="0"/>
          <w:i w:val="0"/>
          <w:color w:val="555555"/>
          <w:sz w:val="19"/>
        </w:rPr>
        <w:t>e-Conomy SEA 2025 Report — Google, Temasek &amp; Bain &amp; Company (November 2025)</w:t>
      </w:r>
    </w:p>
    <w:p>
      <w:pPr>
        <w:pStyle w:val="ListBullet"/>
        <w:spacing w:before="0" w:after="60"/>
      </w:pPr>
      <w:r>
        <w:rPr>
          <w:rFonts w:ascii="Calibri" w:hAnsi="Calibri"/>
          <w:b w:val="0"/>
          <w:i w:val="0"/>
          <w:color w:val="555555"/>
          <w:sz w:val="19"/>
        </w:rPr>
        <w:t>Grab ASEAN Food Delivery Market Share 55% — Nikkei Asia (2025)</w:t>
      </w:r>
    </w:p>
    <w:p>
      <w:pPr>
        <w:pStyle w:val="ListBullet"/>
        <w:spacing w:before="0" w:after="60"/>
      </w:pPr>
      <w:r>
        <w:rPr>
          <w:rFonts w:ascii="Calibri" w:hAnsi="Calibri"/>
          <w:b w:val="0"/>
          <w:i w:val="0"/>
          <w:color w:val="555555"/>
          <w:sz w:val="19"/>
        </w:rPr>
        <w:t>Indonesia KPPU Antitrust Warning on Grab-GoTo Merger — MLex, East Asia Forum (2025)</w:t>
      </w:r>
    </w:p>
    <w:p>
      <w:pPr>
        <w:pStyle w:val="ListBullet"/>
        <w:spacing w:before="0" w:after="60"/>
      </w:pPr>
      <w:r>
        <w:rPr>
          <w:rFonts w:ascii="Calibri" w:hAnsi="Calibri"/>
          <w:b w:val="0"/>
          <w:i w:val="0"/>
          <w:color w:val="555555"/>
          <w:sz w:val="19"/>
        </w:rPr>
        <w:t>Grab Digital Bank Deposits $1.2B — Fintech News Singapore (2025)</w:t>
      </w:r>
    </w:p>
    <w:p>
      <w:pPr>
        <w:pStyle w:val="ListBullet"/>
        <w:spacing w:before="0" w:after="60"/>
      </w:pPr>
      <w:r>
        <w:rPr>
          <w:rFonts w:ascii="Calibri" w:hAnsi="Calibri"/>
          <w:b w:val="0"/>
          <w:i w:val="0"/>
          <w:color w:val="555555"/>
          <w:sz w:val="19"/>
        </w:rPr>
        <w:t>Grab $400M Share Repurchase Programme — StockTitan SEC Filing (2025–2026)</w:t>
      </w:r>
    </w:p>
    <w:p>
      <w:pPr>
        <w:pStyle w:val="ListBullet"/>
        <w:spacing w:before="0" w:after="60"/>
      </w:pPr>
      <w:r>
        <w:rPr>
          <w:rFonts w:ascii="Calibri" w:hAnsi="Calibri"/>
          <w:b w:val="0"/>
          <w:i w:val="0"/>
          <w:color w:val="555555"/>
          <w:sz w:val="19"/>
        </w:rPr>
        <w:t>Grab Infermove AI Acquisition — Simply Wall St / various (2025)</w:t>
      </w:r>
    </w:p>
    <w:p>
      <w:pPr>
        <w:pStyle w:val="ListBullet"/>
        <w:spacing w:before="0" w:after="60"/>
      </w:pPr>
      <w:r>
        <w:rPr>
          <w:rFonts w:ascii="Calibri" w:hAnsi="Calibri"/>
          <w:b w:val="0"/>
          <w:i w:val="0"/>
          <w:color w:val="555555"/>
          <w:sz w:val="19"/>
        </w:rPr>
        <w:t>Anthony Tan Profile — Wikipedia, Fortune Magazine, WEF</w:t>
      </w:r>
    </w:p>
    <w:p>
      <w:pPr>
        <w:pStyle w:val="ListBullet"/>
        <w:spacing w:before="0" w:after="60"/>
      </w:pPr>
      <w:r>
        <w:rPr>
          <w:rFonts w:ascii="Calibri" w:hAnsi="Calibri"/>
          <w:b w:val="0"/>
          <w:i w:val="0"/>
          <w:color w:val="555555"/>
          <w:sz w:val="19"/>
        </w:rPr>
        <w:t>Analyst Price Targets — MarketBeat, TipRanks, Fintel.io (March 2026)</w:t>
      </w:r>
    </w:p>
    <w:p>
      <w:pPr>
        <w:pStyle w:val="ListBullet"/>
        <w:spacing w:before="0" w:after="60"/>
      </w:pPr>
      <w:r>
        <w:rPr>
          <w:rFonts w:ascii="Calibri" w:hAnsi="Calibri"/>
          <w:b w:val="0"/>
          <w:i w:val="0"/>
          <w:color w:val="555555"/>
          <w:sz w:val="19"/>
        </w:rPr>
        <w:t>GRAB Stock Valuation Metrics — stockanalysis.com, Alpha Spread, Yahoo Finance (March 2026)</w:t>
      </w:r>
    </w:p>
    <w:p>
      <w:pPr>
        <w:pStyle w:val="ListBullet"/>
        <w:spacing w:before="0" w:after="60"/>
      </w:pPr>
      <w:r>
        <w:rPr>
          <w:rFonts w:ascii="Calibri" w:hAnsi="Calibri"/>
          <w:b w:val="0"/>
          <w:i w:val="0"/>
          <w:color w:val="555555"/>
          <w:sz w:val="19"/>
        </w:rPr>
        <w:t>SEA Competitive Landscape — DealStreetAsia, Momentum Works (2024–2025)</w:t>
      </w:r>
    </w:p>
    <w:p>
      <w:pPr>
        <w:pStyle w:val="ListBullet"/>
        <w:spacing w:before="0" w:after="60"/>
      </w:pPr>
      <w:r>
        <w:rPr>
          <w:rFonts w:ascii="Calibri" w:hAnsi="Calibri"/>
          <w:b w:val="0"/>
          <w:i w:val="0"/>
          <w:color w:val="555555"/>
          <w:sz w:val="19"/>
        </w:rPr>
        <w:t>MacroTrends GRAB Revenue Historical — macrotrends.net</w:t>
      </w:r>
    </w:p>
    <w:p>
      <w:pPr>
        <w:pStyle w:val="ListBullet"/>
        <w:spacing w:before="0" w:after="60"/>
      </w:pPr>
      <w:r>
        <w:rPr>
          <w:rFonts w:ascii="Calibri" w:hAnsi="Calibri"/>
          <w:b w:val="0"/>
          <w:i w:val="0"/>
          <w:color w:val="555555"/>
          <w:sz w:val="19"/>
        </w:rPr>
        <w:t>Grab Holdings Wikipedia — en.wikipedia.org/wiki/Grab_(company)</w:t>
      </w:r>
    </w:p>
    <w:p>
      <w:pPr>
        <w:spacing w:before="0" w:after="200"/>
      </w:pPr>
    </w:p>
    <w:p>
      <w:pPr>
        <w:jc w:val="center"/>
      </w:pPr>
      <w:r>
        <w:rPr>
          <w:rFonts w:ascii="Calibri" w:hAnsi="Calibri"/>
          <w:b w:val="0"/>
          <w:i/>
          <w:color w:val="555555"/>
          <w:sz w:val="17"/>
        </w:rPr>
        <w:t>DISCLAIMER: This report is produced for informational and educational purposes only. It does not constitute investment advice. All forward-looking statements are based on publicly available information as of March 25, 2026. Past financial performance is not a guarantee of future results. Investors should conduct their own due diligence before making any investment decision.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