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 w:val="single"/>
          <w:left w:color="000000" w:space="4" w:sz="4" w:val="single"/>
          <w:bottom w:color="000000" w:space="1" w:sz="4" w:val="single"/>
          <w:right w:color="000000" w:space="31" w:sz="4" w:val="single"/>
          <w:between w:color="000000" w:space="1" w:sz="4" w:val="single"/>
        </w:pBdr>
        <w:spacing w:after="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FACULTAD:</w:t>
      </w:r>
      <w:r w:rsidDel="00000000" w:rsidR="00000000" w:rsidRPr="00000000">
        <w:rPr>
          <w:rFonts w:ascii="Times New Roman" w:cs="Times New Roman" w:eastAsia="Times New Roman" w:hAnsi="Times New Roman"/>
          <w:sz w:val="24"/>
          <w:szCs w:val="24"/>
          <w:rtl w:val="0"/>
        </w:rPr>
        <w:t xml:space="preserve"> FACULTAD DE INGENIERÍAS</w:t>
      </w:r>
      <w:r w:rsidDel="00000000" w:rsidR="00000000" w:rsidRPr="00000000">
        <w:rPr>
          <w:rtl w:val="0"/>
        </w:rPr>
      </w:r>
    </w:p>
    <w:p w:rsidR="00000000" w:rsidDel="00000000" w:rsidP="00000000" w:rsidRDefault="00000000" w:rsidRPr="00000000" w14:paraId="00000002">
      <w:pPr>
        <w:pBdr>
          <w:top w:color="000000" w:space="1" w:sz="4" w:val="single"/>
          <w:left w:color="000000" w:space="4" w:sz="4" w:val="single"/>
          <w:bottom w:color="000000" w:space="1" w:sz="4" w:val="single"/>
          <w:right w:color="000000" w:space="31" w:sz="4" w:val="single"/>
          <w:between w:color="000000" w:space="1" w:sz="4" w:val="single"/>
        </w:pBd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PROGRAMA: </w:t>
      </w:r>
      <w:r w:rsidDel="00000000" w:rsidR="00000000" w:rsidRPr="00000000">
        <w:rPr>
          <w:rFonts w:ascii="Times New Roman" w:cs="Times New Roman" w:eastAsia="Times New Roman" w:hAnsi="Times New Roman"/>
          <w:sz w:val="24"/>
          <w:szCs w:val="24"/>
          <w:rtl w:val="0"/>
        </w:rPr>
        <w:t xml:space="preserve">INGENIERÍA DE SISTEMAS</w:t>
      </w:r>
      <w:r w:rsidDel="00000000" w:rsidR="00000000" w:rsidRPr="00000000">
        <w:rPr>
          <w:rtl w:val="0"/>
        </w:rPr>
      </w:r>
    </w:p>
    <w:p w:rsidR="00000000" w:rsidDel="00000000" w:rsidP="00000000" w:rsidRDefault="00000000" w:rsidRPr="00000000" w14:paraId="00000003">
      <w:pPr>
        <w:pBdr>
          <w:top w:color="000000" w:space="1" w:sz="4" w:val="single"/>
          <w:left w:color="000000" w:space="4" w:sz="4" w:val="single"/>
          <w:bottom w:color="000000" w:space="1" w:sz="4" w:val="single"/>
          <w:right w:color="000000" w:space="31" w:sz="4" w:val="single"/>
          <w:between w:color="000000" w:space="1" w:sz="4" w:val="single"/>
        </w:pBd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TÍTULO DEL PROYECTO: </w:t>
      </w:r>
      <w:r w:rsidDel="00000000" w:rsidR="00000000" w:rsidRPr="00000000">
        <w:rPr>
          <w:rFonts w:ascii="Times New Roman" w:cs="Times New Roman" w:eastAsia="Times New Roman" w:hAnsi="Times New Roman"/>
          <w:sz w:val="24"/>
          <w:szCs w:val="24"/>
          <w:rtl w:val="0"/>
        </w:rPr>
        <w:t xml:space="preserve">DESARROLLO DE UNA PLATAFORMA WEB EDUCATIVA GAMIFICADA CON ASISTENCIA DE INTELIGENCIA ARTIFICIAL</w:t>
      </w:r>
      <w:r w:rsidDel="00000000" w:rsidR="00000000" w:rsidRPr="00000000">
        <w:rPr>
          <w:rtl w:val="0"/>
        </w:rPr>
      </w:r>
    </w:p>
    <w:p w:rsidR="00000000" w:rsidDel="00000000" w:rsidP="00000000" w:rsidRDefault="00000000" w:rsidRPr="00000000" w14:paraId="00000004">
      <w:pPr>
        <w:pBdr>
          <w:top w:color="000000" w:space="1" w:sz="4" w:val="single"/>
          <w:left w:color="000000" w:space="4" w:sz="4" w:val="single"/>
          <w:bottom w:color="000000" w:space="1" w:sz="4" w:val="single"/>
          <w:right w:color="000000" w:space="31" w:sz="4" w:val="single"/>
          <w:between w:color="000000" w:space="1" w:sz="4" w:val="single"/>
        </w:pBd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LÍNEA DE INVESTIGACIÓN A LA CUAL SE ADSCRIBE EL PROYECTO: </w:t>
      </w:r>
      <w:r w:rsidDel="00000000" w:rsidR="00000000" w:rsidRPr="00000000">
        <w:rPr>
          <w:rFonts w:ascii="Times New Roman" w:cs="Times New Roman" w:eastAsia="Times New Roman" w:hAnsi="Times New Roman"/>
          <w:sz w:val="24"/>
          <w:szCs w:val="24"/>
          <w:rtl w:val="0"/>
        </w:rPr>
        <w:t xml:space="preserve">DESARROLLO DE SOFTWARE Y SISTEMAS DE INFORMACIÓN (ACUERDO 006 DEL 2025)</w:t>
      </w:r>
      <w:r w:rsidDel="00000000" w:rsidR="00000000" w:rsidRPr="00000000">
        <w:rPr>
          <w:rtl w:val="0"/>
        </w:rPr>
      </w:r>
    </w:p>
    <w:p w:rsidR="00000000" w:rsidDel="00000000" w:rsidP="00000000" w:rsidRDefault="00000000" w:rsidRPr="00000000" w14:paraId="00000005">
      <w:pPr>
        <w:pBdr>
          <w:top w:color="000000" w:space="1" w:sz="4" w:val="single"/>
          <w:left w:color="000000" w:space="4" w:sz="4" w:val="single"/>
          <w:bottom w:color="000000" w:space="1" w:sz="4" w:val="single"/>
          <w:right w:color="000000" w:space="31" w:sz="4" w:val="single"/>
          <w:between w:color="000000" w:space="1" w:sz="4" w:val="single"/>
        </w:pBd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TEMÁTICA: </w:t>
      </w:r>
      <w:r w:rsidDel="00000000" w:rsidR="00000000" w:rsidRPr="00000000">
        <w:rPr>
          <w:rFonts w:ascii="Times New Roman" w:cs="Times New Roman" w:eastAsia="Times New Roman" w:hAnsi="Times New Roman"/>
          <w:sz w:val="24"/>
          <w:szCs w:val="24"/>
          <w:rtl w:val="0"/>
        </w:rPr>
        <w:t xml:space="preserve">DESARROLLO Y CALIDAD DE SOFTWARE, ANÁLISIS Y DISEÑO DE INFORMACIÓN, CONSTRUCCIÓN Y ARQUITECTURA DE SOFTWARE</w:t>
      </w:r>
      <w:r w:rsidDel="00000000" w:rsidR="00000000" w:rsidRPr="00000000">
        <w:rPr>
          <w:rtl w:val="0"/>
        </w:rPr>
      </w:r>
    </w:p>
    <w:p w:rsidR="00000000" w:rsidDel="00000000" w:rsidP="00000000" w:rsidRDefault="00000000" w:rsidRPr="00000000" w14:paraId="00000006">
      <w:pPr>
        <w:pBdr>
          <w:top w:color="000000" w:space="1" w:sz="4" w:val="single"/>
          <w:left w:color="000000" w:space="4" w:sz="4" w:val="single"/>
          <w:bottom w:color="000000" w:space="1" w:sz="4" w:val="single"/>
          <w:right w:color="000000" w:space="31" w:sz="4" w:val="single"/>
          <w:between w:color="000000" w:space="1" w:sz="4" w:val="singl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GRUPO DE INVESTIGACIÓN: </w:t>
      </w:r>
      <w:r w:rsidDel="00000000" w:rsidR="00000000" w:rsidRPr="00000000">
        <w:rPr>
          <w:rFonts w:ascii="Times New Roman" w:cs="Times New Roman" w:eastAsia="Times New Roman" w:hAnsi="Times New Roman"/>
          <w:sz w:val="24"/>
          <w:szCs w:val="24"/>
          <w:rtl w:val="0"/>
        </w:rPr>
        <w:t xml:space="preserve">UNIVERSIDAD PARALELA</w:t>
      </w:r>
    </w:p>
    <w:p w:rsidR="00000000" w:rsidDel="00000000" w:rsidP="00000000" w:rsidRDefault="00000000" w:rsidRPr="00000000" w14:paraId="00000007">
      <w:pPr>
        <w:pBdr>
          <w:top w:color="000000" w:space="1" w:sz="4" w:val="single"/>
          <w:left w:color="000000" w:space="4" w:sz="4" w:val="single"/>
          <w:bottom w:color="000000" w:space="1" w:sz="4" w:val="single"/>
          <w:right w:color="000000" w:space="31" w:sz="4" w:val="single"/>
          <w:between w:color="000000" w:space="1" w:sz="4" w:val="single"/>
        </w:pBd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DURACIÓN EN MESES: </w:t>
      </w:r>
      <w:r w:rsidDel="00000000" w:rsidR="00000000" w:rsidRPr="00000000">
        <w:rPr>
          <w:rFonts w:ascii="Times New Roman" w:cs="Times New Roman" w:eastAsia="Times New Roman" w:hAnsi="Times New Roman"/>
          <w:sz w:val="24"/>
          <w:szCs w:val="24"/>
          <w:rtl w:val="0"/>
        </w:rPr>
        <w:t xml:space="preserve">9 meses</w:t>
      </w:r>
    </w:p>
    <w:p w:rsidR="00000000" w:rsidDel="00000000" w:rsidP="00000000" w:rsidRDefault="00000000" w:rsidRPr="00000000" w14:paraId="00000008">
      <w:pPr>
        <w:pBdr>
          <w:top w:color="000000" w:space="1" w:sz="4" w:val="single"/>
          <w:left w:color="000000" w:space="4" w:sz="4" w:val="single"/>
          <w:bottom w:color="000000" w:space="1" w:sz="4" w:val="single"/>
          <w:right w:color="000000" w:space="31" w:sz="4" w:val="single"/>
          <w:between w:color="000000" w:space="1" w:sz="4" w:val="single"/>
        </w:pBd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INVESTIGACIÓN:   BÁSICA _____ APLICADA ___</w:t>
      </w:r>
      <w:r w:rsidDel="00000000" w:rsidR="00000000" w:rsidRPr="00000000">
        <w:rPr>
          <w:rFonts w:ascii="Times New Roman" w:cs="Times New Roman" w:eastAsia="Times New Roman" w:hAnsi="Times New Roman"/>
          <w:b w:val="1"/>
          <w:bCs w:val="1"/>
          <w:sz w:val="24"/>
          <w:szCs w:val="24"/>
          <w:u w:val="single"/>
          <w:rtl w:val="0"/>
        </w:rPr>
        <w:t xml:space="preserve">X</w:t>
      </w:r>
      <w:r w:rsidDel="00000000" w:rsidR="00000000" w:rsidRPr="00000000">
        <w:rPr>
          <w:rFonts w:ascii="Times New Roman" w:cs="Times New Roman" w:eastAsia="Times New Roman" w:hAnsi="Times New Roman"/>
          <w:b w:val="1"/>
          <w:bCs w:val="1"/>
          <w:sz w:val="24"/>
          <w:szCs w:val="24"/>
          <w:rtl w:val="0"/>
        </w:rPr>
        <w:t xml:space="preserve">___ OTRA _____ </w:t>
      </w:r>
    </w:p>
    <w:p w:rsidR="00000000" w:rsidDel="00000000" w:rsidP="00000000" w:rsidRDefault="00000000" w:rsidRPr="00000000" w14:paraId="00000009">
      <w:pPr>
        <w:pBdr>
          <w:top w:color="000000" w:space="1" w:sz="4" w:val="single"/>
          <w:left w:color="000000" w:space="4" w:sz="4" w:val="single"/>
          <w:bottom w:color="000000" w:space="1" w:sz="4" w:val="single"/>
          <w:right w:color="000000" w:space="31" w:sz="4" w:val="single"/>
          <w:between w:color="000000" w:space="1" w:sz="4" w:val="single"/>
        </w:pBd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MODALIDAD DEL PROYECTO: DE INVESTIGACIÓN INTERNO ____DE INVESTIGACIÓN CON PARTICIPACIÓN EXTERNA ___</w:t>
      </w:r>
      <w:r w:rsidDel="00000000" w:rsidR="00000000" w:rsidRPr="00000000">
        <w:rPr>
          <w:rFonts w:ascii="Times New Roman" w:cs="Times New Roman" w:eastAsia="Times New Roman" w:hAnsi="Times New Roman"/>
          <w:b w:val="1"/>
          <w:bCs w:val="1"/>
          <w:sz w:val="24"/>
          <w:szCs w:val="24"/>
          <w:u w:val="single"/>
          <w:rtl w:val="0"/>
        </w:rPr>
        <w:t xml:space="preserve">X</w:t>
      </w:r>
      <w:r w:rsidDel="00000000" w:rsidR="00000000" w:rsidRPr="00000000">
        <w:rPr>
          <w:rFonts w:ascii="Times New Roman" w:cs="Times New Roman" w:eastAsia="Times New Roman" w:hAnsi="Times New Roman"/>
          <w:b w:val="1"/>
          <w:bCs w:val="1"/>
          <w:sz w:val="24"/>
          <w:szCs w:val="24"/>
          <w:rtl w:val="0"/>
        </w:rPr>
        <w:t xml:space="preserve">___ PROYECTOS INSTITUCIONALES ____</w:t>
        <w:tab/>
        <w:tab/>
        <w:tab/>
        <w:tab/>
        <w:t xml:space="preserve">          </w:t>
      </w:r>
    </w:p>
    <w:p w:rsidR="00000000" w:rsidDel="00000000" w:rsidP="00000000" w:rsidRDefault="00000000" w:rsidRPr="00000000" w14:paraId="0000000A">
      <w:pPr>
        <w:pBdr>
          <w:top w:color="000000" w:space="1" w:sz="4" w:val="single"/>
          <w:left w:color="000000" w:space="4" w:sz="4" w:val="single"/>
          <w:bottom w:color="000000" w:space="1" w:sz="4" w:val="single"/>
          <w:right w:color="000000" w:space="31" w:sz="4" w:val="single"/>
          <w:between w:color="000000" w:space="1" w:sz="4" w:val="single"/>
        </w:pBd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LUGAR ESPECÍFICO DE LA EJECUCIÓN DEL PROYECTO: </w:t>
      </w:r>
      <w:r w:rsidDel="00000000" w:rsidR="00000000" w:rsidRPr="00000000">
        <w:rPr>
          <w:rFonts w:ascii="Times New Roman" w:cs="Times New Roman" w:eastAsia="Times New Roman" w:hAnsi="Times New Roman"/>
          <w:sz w:val="24"/>
          <w:szCs w:val="24"/>
          <w:rtl w:val="0"/>
        </w:rPr>
        <w:t xml:space="preserve">Riohacha, La Guajira</w:t>
      </w:r>
      <w:r w:rsidDel="00000000" w:rsidR="00000000" w:rsidRPr="00000000">
        <w:rPr>
          <w:rtl w:val="0"/>
        </w:rPr>
      </w:r>
    </w:p>
    <w:tbl>
      <w:tblPr>
        <w:tblStyle w:val="Table1"/>
        <w:tblW w:w="9585.0" w:type="dxa"/>
        <w:jc w:val="left"/>
        <w:tblInd w:w="-1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85"/>
        <w:tblGridChange w:id="0">
          <w:tblGrid>
            <w:gridCol w:w="9585"/>
          </w:tblGrid>
        </w:tblGridChange>
      </w:tblGrid>
      <w:tr>
        <w:trPr>
          <w:cantSplit w:val="0"/>
          <w:tblHeader w:val="0"/>
        </w:trPr>
        <w:tc>
          <w:tcPr/>
          <w:p w:rsidR="00000000" w:rsidDel="00000000" w:rsidP="00000000" w:rsidRDefault="00000000" w:rsidRPr="00000000" w14:paraId="0000000B">
            <w:pPr>
              <w:widowControl w:val="0"/>
              <w:pBdr>
                <w:top w:color="000000" w:space="1" w:sz="6" w:val="single"/>
                <w:left w:color="000000" w:space="4" w:sz="6" w:val="single"/>
                <w:bottom w:color="000000" w:space="1" w:sz="6" w:val="single"/>
                <w:right w:color="000000" w:space="4" w:sz="6" w:val="single"/>
              </w:pBd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RESPONSABLES DEL PROYECTO:</w:t>
            </w:r>
          </w:p>
          <w:p w:rsidR="00000000" w:rsidDel="00000000" w:rsidP="00000000" w:rsidRDefault="00000000" w:rsidRPr="00000000" w14:paraId="0000000C">
            <w:pPr>
              <w:widowControl w:val="0"/>
              <w:pBdr>
                <w:top w:color="000000" w:space="1" w:sz="6" w:val="single"/>
                <w:left w:color="000000" w:space="4" w:sz="6" w:val="single"/>
                <w:bottom w:color="000000" w:space="1" w:sz="6" w:val="single"/>
                <w:right w:color="000000" w:space="4" w:sz="6" w:val="single"/>
              </w:pBd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Investigador Principal:</w:t>
            </w:r>
          </w:p>
          <w:p w:rsidR="00000000" w:rsidDel="00000000" w:rsidP="00000000" w:rsidRDefault="00000000" w:rsidRPr="00000000" w14:paraId="0000000D">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 Ivan Jesus Martinez Molina</w:t>
            </w:r>
          </w:p>
          <w:p w:rsidR="00000000" w:rsidDel="00000000" w:rsidP="00000000" w:rsidRDefault="00000000" w:rsidRPr="00000000" w14:paraId="0000000E">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cédula de ciudadanía: 1006615520</w:t>
            </w:r>
          </w:p>
          <w:p w:rsidR="00000000" w:rsidDel="00000000" w:rsidP="00000000" w:rsidRDefault="00000000" w:rsidRPr="00000000" w14:paraId="0000000F">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Lugar y fecha de expedición: Riohacha, La Guajira, 20 de noviembre, 2019</w:t>
            </w:r>
          </w:p>
          <w:p w:rsidR="00000000" w:rsidDel="00000000" w:rsidP="00000000" w:rsidRDefault="00000000" w:rsidRPr="00000000" w14:paraId="00000010">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Municipio de residencia: Riohacha</w:t>
            </w:r>
          </w:p>
          <w:p w:rsidR="00000000" w:rsidDel="00000000" w:rsidP="00000000" w:rsidRDefault="00000000" w:rsidRPr="00000000" w14:paraId="00000011">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celular: 3226800403</w:t>
            </w:r>
          </w:p>
          <w:p w:rsidR="00000000" w:rsidDel="00000000" w:rsidP="00000000" w:rsidRDefault="00000000" w:rsidRPr="00000000" w14:paraId="00000012">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electrónico institucional: ijesusmartinez@uniguajira.edu.co</w:t>
            </w:r>
          </w:p>
          <w:p w:rsidR="00000000" w:rsidDel="00000000" w:rsidP="00000000" w:rsidRDefault="00000000" w:rsidRPr="00000000" w14:paraId="00000013">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electrónico personal: ivanjmm01@gmail.com</w:t>
            </w:r>
          </w:p>
          <w:p w:rsidR="00000000" w:rsidDel="00000000" w:rsidP="00000000" w:rsidRDefault="00000000" w:rsidRPr="00000000" w14:paraId="00000014">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Sede: Sede Riohacha</w:t>
            </w:r>
          </w:p>
          <w:p w:rsidR="00000000" w:rsidDel="00000000" w:rsidP="00000000" w:rsidRDefault="00000000" w:rsidRPr="00000000" w14:paraId="00000015">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académico: Ingeniería de Sistemas</w:t>
            </w:r>
          </w:p>
          <w:p w:rsidR="00000000" w:rsidDel="00000000" w:rsidP="00000000" w:rsidRDefault="00000000" w:rsidRPr="00000000" w14:paraId="00000016">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vinculación: Estudiante de Pregrado</w:t>
            </w:r>
          </w:p>
          <w:p w:rsidR="00000000" w:rsidDel="00000000" w:rsidP="00000000" w:rsidRDefault="00000000" w:rsidRPr="00000000" w14:paraId="00000017">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horas de dedicación al proyecto: 10 horas semanales</w:t>
            </w:r>
          </w:p>
          <w:p w:rsidR="00000000" w:rsidDel="00000000" w:rsidP="00000000" w:rsidRDefault="00000000" w:rsidRPr="00000000" w14:paraId="00000018">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Grupo de investigación al que pertenece: Universidad Paralela</w:t>
            </w:r>
          </w:p>
          <w:p w:rsidR="00000000" w:rsidDel="00000000" w:rsidP="00000000" w:rsidRDefault="00000000" w:rsidRPr="00000000" w14:paraId="00000019">
            <w:pPr>
              <w:widowControl w:val="0"/>
              <w:pBdr>
                <w:top w:color="000000" w:space="1" w:sz="6" w:val="single"/>
                <w:left w:color="000000" w:space="4" w:sz="6" w:val="single"/>
                <w:bottom w:color="000000" w:space="1" w:sz="6" w:val="single"/>
                <w:right w:color="000000" w:space="4" w:sz="6" w:val="single"/>
              </w:pBdr>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Co-investigador 1:</w:t>
            </w:r>
          </w:p>
          <w:p w:rsidR="00000000" w:rsidDel="00000000" w:rsidP="00000000" w:rsidRDefault="00000000" w:rsidRPr="00000000" w14:paraId="0000001A">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 Juan Carlos Añez Ahumada</w:t>
            </w:r>
          </w:p>
          <w:p w:rsidR="00000000" w:rsidDel="00000000" w:rsidP="00000000" w:rsidRDefault="00000000" w:rsidRPr="00000000" w14:paraId="0000001B">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cédula de ciudadanía: 1193566998</w:t>
            </w:r>
          </w:p>
          <w:p w:rsidR="00000000" w:rsidDel="00000000" w:rsidP="00000000" w:rsidRDefault="00000000" w:rsidRPr="00000000" w14:paraId="0000001C">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Lugar y fecha de expedición: Agustín Codazzi, Cesar, 05 de abril, 2021</w:t>
            </w:r>
          </w:p>
          <w:p w:rsidR="00000000" w:rsidDel="00000000" w:rsidP="00000000" w:rsidRDefault="00000000" w:rsidRPr="00000000" w14:paraId="0000001D">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Municipio de residencia: Riohacha</w:t>
            </w:r>
          </w:p>
          <w:p w:rsidR="00000000" w:rsidDel="00000000" w:rsidP="00000000" w:rsidRDefault="00000000" w:rsidRPr="00000000" w14:paraId="0000001E">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celular: 3205489386</w:t>
            </w:r>
          </w:p>
          <w:p w:rsidR="00000000" w:rsidDel="00000000" w:rsidP="00000000" w:rsidRDefault="00000000" w:rsidRPr="00000000" w14:paraId="0000001F">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electrónico institucional: janiez@uniguajira.edu.co</w:t>
            </w:r>
          </w:p>
          <w:p w:rsidR="00000000" w:rsidDel="00000000" w:rsidP="00000000" w:rsidRDefault="00000000" w:rsidRPr="00000000" w14:paraId="00000020">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electrónico personal: juancarlosanezahumada@gmail.com</w:t>
            </w:r>
          </w:p>
          <w:p w:rsidR="00000000" w:rsidDel="00000000" w:rsidP="00000000" w:rsidRDefault="00000000" w:rsidRPr="00000000" w14:paraId="00000021">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Sede: Sede Riohacha</w:t>
            </w:r>
          </w:p>
          <w:p w:rsidR="00000000" w:rsidDel="00000000" w:rsidP="00000000" w:rsidRDefault="00000000" w:rsidRPr="00000000" w14:paraId="00000022">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académico: Ingeniería de Sistemas</w:t>
            </w:r>
          </w:p>
          <w:p w:rsidR="00000000" w:rsidDel="00000000" w:rsidP="00000000" w:rsidRDefault="00000000" w:rsidRPr="00000000" w14:paraId="00000023">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vinculación: Estudiante de Pregrado</w:t>
            </w:r>
          </w:p>
          <w:p w:rsidR="00000000" w:rsidDel="00000000" w:rsidP="00000000" w:rsidRDefault="00000000" w:rsidRPr="00000000" w14:paraId="00000024">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horas de dedicación al proyecto: 10 horas semanales</w:t>
            </w:r>
          </w:p>
          <w:p w:rsidR="00000000" w:rsidDel="00000000" w:rsidP="00000000" w:rsidRDefault="00000000" w:rsidRPr="00000000" w14:paraId="00000025">
            <w:pPr>
              <w:widowControl w:val="0"/>
              <w:pBdr>
                <w:top w:color="000000" w:space="1" w:sz="6" w:val="single"/>
                <w:left w:color="000000" w:space="4" w:sz="6" w:val="single"/>
                <w:bottom w:color="000000" w:space="1" w:sz="6" w:val="single"/>
                <w:right w:color="000000" w:space="4" w:sz="6" w:val="singl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Grupo de investigación al que pertenece: Universidad Paralela</w:t>
            </w:r>
          </w:p>
          <w:p w:rsidR="00000000" w:rsidDel="00000000" w:rsidP="00000000" w:rsidRDefault="00000000" w:rsidRPr="00000000" w14:paraId="0000002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 del proyecto:  </w:t>
            </w:r>
            <w:r w:rsidDel="00000000" w:rsidR="00000000" w:rsidRPr="00000000">
              <w:rPr>
                <w:rFonts w:ascii="Times New Roman" w:cs="Times New Roman" w:eastAsia="Times New Roman" w:hAnsi="Times New Roman"/>
                <w:sz w:val="24"/>
                <w:szCs w:val="24"/>
                <w:rtl w:val="0"/>
              </w:rPr>
              <w:t xml:space="preserve">Desarrollo de una plataforma web educativa gamificada con asistencia de inteligencia artificial.</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Project Title: </w:t>
            </w:r>
            <w:r w:rsidDel="00000000" w:rsidR="00000000" w:rsidRPr="00000000">
              <w:rPr>
                <w:rFonts w:ascii="Times New Roman" w:cs="Times New Roman" w:eastAsia="Times New Roman" w:hAnsi="Times New Roman"/>
                <w:sz w:val="24"/>
                <w:szCs w:val="24"/>
                <w:rtl w:val="0"/>
              </w:rPr>
              <w:t xml:space="preserve">Development of a gamified educational web platform with artificial intelligence assistance.</w:t>
            </w:r>
            <w:r w:rsidDel="00000000" w:rsidR="00000000" w:rsidRPr="00000000">
              <w:rPr>
                <w:rtl w:val="0"/>
              </w:rPr>
            </w:r>
          </w:p>
        </w:tc>
      </w:tr>
      <w:tr>
        <w:trPr>
          <w:cantSplit w:val="0"/>
          <w:tblHeader w:val="0"/>
        </w:trPr>
        <w:tc>
          <w:tcPr/>
          <w:p w:rsidR="00000000" w:rsidDel="00000000" w:rsidP="00000000" w:rsidRDefault="00000000" w:rsidRPr="00000000" w14:paraId="0000002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 del Proyecto (español e inglés):</w:t>
            </w:r>
          </w:p>
          <w:p w:rsidR="00000000" w:rsidDel="00000000" w:rsidP="00000000" w:rsidRDefault="00000000" w:rsidRPr="00000000" w14:paraId="00000029">
            <w:pPr>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 </w:t>
            </w:r>
          </w:p>
          <w:p w:rsidR="00000000" w:rsidDel="00000000" w:rsidP="00000000" w:rsidRDefault="00000000" w:rsidRPr="00000000" w14:paraId="0000002A">
            <w:pPr>
              <w:spacing w:after="12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Esta propuesta plantea el desarrollo de una plataforma web educativa gamificada, con arquitectura modular y asistencia de inteligencia artificial, para gestionar recompensas académicas y su canje mediante subastas en tiempo real. El problema no es la falta de elementos lúdicos en las plataformas educativas, sino la dificultad de desarrollar un sistema de información que integre de forma coherente recompensas digitales simbólicas, subastas y asistencia de inteligencia artificial, y que mantenga la consistencia de los saldos y la seguridad de los datos entre instituciones. La investigación es aplicada de tipo proyectivo, con enfoque mixto de predominio cuantitativo y un diseño de ciencia del diseño, seguido de una evaluación no experimental, transversal y descriptiva. Se ejecuta en cinco fases durante nueve meses: requisitos, diseño, desarrollo iterativo con Scrum, validación y documentación. La plataforma se evalúa con cuatro características de calidad de la norma ISO/IEC 25010: adecuación funcional, eficiencia de desempeño, seguridad y fiabilidad, y con el Modelo de Aceptación Tecnológica, aplicado a una muestra no probabilística por conveniencia de estudiantes y docentes. Se espera obtener una plataforma funcional validada con usuarios, el código fuente y la documentación liberados con licencia de software libre, y evidencia sobre el comportamiento de un asistente de inteligencia artificial que ejecuta acciones sobre un sistema transaccional.</w:t>
            </w:r>
            <w:r w:rsidDel="00000000" w:rsidR="00000000" w:rsidRPr="00000000">
              <w:rPr>
                <w:rtl w:val="0"/>
              </w:rPr>
            </w:r>
          </w:p>
          <w:p w:rsidR="00000000" w:rsidDel="00000000" w:rsidP="00000000" w:rsidRDefault="00000000" w:rsidRPr="00000000" w14:paraId="0000002B">
            <w:pPr>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 </w:t>
            </w:r>
          </w:p>
          <w:p w:rsidR="00000000" w:rsidDel="00000000" w:rsidP="00000000" w:rsidRDefault="00000000" w:rsidRPr="00000000" w14:paraId="0000002C">
            <w:pPr>
              <w:spacing w:after="12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proposal presents the development of a gamified educational web platform, with a modular architecture and artificial intelligence assistance, to manage academic rewards and their redemption through real-time auctions. The problem is not a lack of game elements in educational platforms, but the difficulty of developing an information system that coherently integrates symbolic digital rewards, auctions and artificial intelligence assistance, while keeping balances consistent and data secure across institutions. The research is applied and projective, with a mixed approach with quantitative predominance and a design science design, followed by a non-experimental, cross-sectional and descriptive evaluation. It is carried out in five phases over nine months: requirements, design, iterative development with Scrum, validation and documentation. The platform is evaluated with four quality characteristics of the ISO/IEC 25010 standard: functional suitability, performance efficiency, security and reliability, and with the Technology Acceptance Model, applied to a non-probabilistic convenience sample of students and teachers. The expected results are a working platform validated with users, source code and documentation released under a free software license, and evidence on how an artificial intelligence assistant that performs actions on a transactional system behaves.</w:t>
            </w:r>
            <w:r w:rsidDel="00000000" w:rsidR="00000000" w:rsidRPr="00000000">
              <w:rPr>
                <w:rtl w:val="0"/>
              </w:rPr>
            </w:r>
          </w:p>
        </w:tc>
      </w:tr>
    </w:tbl>
    <w:p w:rsidR="00000000" w:rsidDel="00000000" w:rsidP="00000000" w:rsidRDefault="00000000" w:rsidRPr="00000000" w14:paraId="0000002D">
      <w:pPr>
        <w:spacing w:line="360" w:lineRule="auto"/>
        <w:jc w:val="both"/>
        <w:rPr>
          <w:rFonts w:ascii="Times New Roman" w:cs="Times New Roman" w:eastAsia="Times New Roman" w:hAnsi="Times New Roman"/>
        </w:rPr>
      </w:pPr>
      <w:r w:rsidDel="00000000" w:rsidR="00000000" w:rsidRPr="00000000">
        <w:rPr>
          <w:rtl w:val="0"/>
        </w:rPr>
      </w:r>
    </w:p>
    <w:tbl>
      <w:tblPr>
        <w:tblStyle w:val="Table2"/>
        <w:tblW w:w="96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52"/>
        <w:tblGridChange w:id="0">
          <w:tblGrid>
            <w:gridCol w:w="9652"/>
          </w:tblGrid>
        </w:tblGridChange>
      </w:tblGrid>
      <w:tr>
        <w:trPr>
          <w:cantSplit w:val="0"/>
          <w:trHeight w:val="1120" w:hRule="atLeast"/>
          <w:tblHeader w:val="0"/>
        </w:trPr>
        <w:tc>
          <w:tcPr/>
          <w:p w:rsidR="00000000" w:rsidDel="00000000" w:rsidP="00000000" w:rsidRDefault="00000000" w:rsidRPr="00000000" w14:paraId="0000002E">
            <w:pPr>
              <w:widowControl w:val="0"/>
              <w:spacing w:after="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PALABRAS CLAVE: </w:t>
            </w:r>
            <w:r w:rsidDel="00000000" w:rsidR="00000000" w:rsidRPr="00000000">
              <w:rPr>
                <w:rFonts w:ascii="Times New Roman" w:cs="Times New Roman" w:eastAsia="Times New Roman" w:hAnsi="Times New Roman"/>
                <w:sz w:val="24"/>
                <w:szCs w:val="24"/>
                <w:rtl w:val="0"/>
              </w:rPr>
              <w:t xml:space="preserve">gamificación, plataforma web educativa, inteligencia artificial, subastas en tiempo real, aceptación tecnológica.</w:t>
            </w:r>
            <w:r w:rsidDel="00000000" w:rsidR="00000000" w:rsidRPr="00000000">
              <w:rPr>
                <w:rtl w:val="0"/>
              </w:rPr>
            </w:r>
          </w:p>
          <w:p w:rsidR="00000000" w:rsidDel="00000000" w:rsidP="00000000" w:rsidRDefault="00000000" w:rsidRPr="00000000" w14:paraId="0000002F">
            <w:pPr>
              <w:widowControl w:val="0"/>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gamification, educational web platform, artificial intelligence, real-time auctions, technology acceptance.</w:t>
            </w:r>
            <w:r w:rsidDel="00000000" w:rsidR="00000000" w:rsidRPr="00000000">
              <w:rPr>
                <w:rtl w:val="0"/>
              </w:rPr>
            </w:r>
          </w:p>
        </w:tc>
      </w:tr>
    </w:tbl>
    <w:p w:rsidR="00000000" w:rsidDel="00000000" w:rsidP="00000000" w:rsidRDefault="00000000" w:rsidRPr="00000000" w14:paraId="0000003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Descriptores del proyecto </w:t>
      </w:r>
    </w:p>
    <w:tbl>
      <w:tblPr>
        <w:tblStyle w:val="Table3"/>
        <w:tblW w:w="961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15"/>
        <w:tblGridChange w:id="0">
          <w:tblGrid>
            <w:gridCol w:w="9615"/>
          </w:tblGrid>
        </w:tblGridChange>
      </w:tblGrid>
      <w:tr>
        <w:trPr>
          <w:cantSplit w:val="0"/>
          <w:tblHeader w:val="0"/>
        </w:trPr>
        <w:tc>
          <w:tcPr/>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pacing w:after="160" w:line="360" w:lineRule="auto"/>
              <w:ind w:left="36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PLANTEAMIENTO DEL PROBLEMA</w:t>
            </w:r>
            <w:r w:rsidDel="00000000" w:rsidR="00000000" w:rsidRPr="00000000">
              <w:rPr>
                <w:rtl w:val="0"/>
              </w:rPr>
            </w:r>
          </w:p>
          <w:p w:rsidR="00000000" w:rsidDel="00000000" w:rsidP="00000000" w:rsidRDefault="00000000" w:rsidRPr="00000000" w14:paraId="0000003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tecnologías de la información ya forman parte de la organización de los procesos académicos. Las plataformas educativas y los sistemas de gestión del aprendizaje permiten administrar contenidos, registrar calificaciones, organizar actividades y consultar información. Con frecuencia, sin embargo, estas herramientas se limitan al almacenamiento y la consulta de datos, y no siempre incluyen dinámicas como el reconocimiento del esfuerzo, la participación o el seguimiento de los logros de los estudiantes. Ahí hay un espacio para el desarrollo de software que complemente las funciones convencionales con gamificación, automatización de procesos y asistencia basada en inteligencia artificial.</w:t>
            </w:r>
          </w:p>
          <w:p w:rsidR="00000000" w:rsidDel="00000000" w:rsidP="00000000" w:rsidRDefault="00000000" w:rsidRPr="00000000" w14:paraId="0000003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el interés y la participación de los estudiantes es un reto que depende de factores pedagógicos, personales e institucionales. Desde el desarrollo de software se puede atender una parte de esa necesidad incorporando elementos de gamificación que asocien actividades y logros con recompensas simbólicas, retroalimentación y metas definidas. La gamificación no garantiza por sí sola un aumento de la motivación ni del rendimiento académico, pero permite diseñar nuevas formas de interacción que después pueden probarse y evaluarse en un entorno educativo.</w:t>
            </w:r>
          </w:p>
          <w:p w:rsidR="00000000" w:rsidDel="00000000" w:rsidP="00000000" w:rsidRDefault="00000000" w:rsidRPr="00000000" w14:paraId="0000003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una estrategia así funcione en la práctica, el docente necesita registrar el cumplimiento de las actividades, definir criterios de reconocimiento, asignar incentivos y consultar el historial de lo otorgado. Cuando todo esto se lleva en registros manuales, hojas de cálculo separadas o herramientas que no comparten información, resulta difícil mantener los datos al día, verificar saldos, revisar movimientos y aplicar los criterios de manera pareja. Esto no ocurre necesariamente en todas las instituciones, pero deja ver una necesidad concreta: un sistema centralizado que aplique reglas definidas de antemano, conserve la trazabilidad de las operaciones y muestre la información a los usuarios autorizados.</w:t>
            </w:r>
          </w:p>
          <w:p w:rsidR="00000000" w:rsidDel="00000000" w:rsidP="00000000" w:rsidRDefault="00000000" w:rsidRPr="00000000" w14:paraId="0000003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propuesta la gamificación se concreta en un sistema de recompensas digitales simbólicas, unidades virtuales sin valor monetario real que el docente asigna según criterios académicos establecidos. Las subastas, en las que los estudiantes pujan con sus monedas por incentivos que define el docente, agregan requisitos de software: controlar la disponibilidad de los saldos, registrar las ofertas, cerrar las subastas y resolver las operaciones concurrentes. Por eso no basta con mostrar elementos visuales de juego. Hace falta un sistema de información que garantice la integridad y la trazabilidad de cada operación.</w:t>
            </w:r>
          </w:p>
          <w:p w:rsidR="00000000" w:rsidDel="00000000" w:rsidP="00000000" w:rsidRDefault="00000000" w:rsidRPr="00000000" w14:paraId="0000003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Quienes administran información académica, como docentes, coordinadores y rectores, tienen que consultar, registrar y actualizar datos con frecuencia, y hacerlo a través de varias pantallas aumenta la complejidad de uso. La inteligencia artificial permite incorporar asistentes que interpretan solicitudes escritas en lenguaje natural y las convierten en acciones estructuradas dentro del sistema. Integrarlos exige criterios de ingeniería de software: validar las solicitudes, controlar los permisos, proteger los datos, pedir confirmación en las operaciones sensibles y verificar los resultados. La inteligencia artificial se concibe entonces como un apoyo sujeto a las reglas del sistema, y no como un sustituto de la supervisión humana ni como un componente con acceso libre a la información académica.</w:t>
            </w:r>
          </w:p>
          <w:p w:rsidR="00000000" w:rsidDel="00000000" w:rsidP="00000000" w:rsidRDefault="00000000" w:rsidRPr="00000000" w14:paraId="0000003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Reunir recompensas, subastas y asistencia con inteligencia artificial en una sola solución plantea un reto técnico. Se necesita una arquitectura que separe la interfaz de usuario, la lógica de negocio y el almacenamiento de los datos, un modelo de información consistente, mecanismos de autenticación y autorización, validación de las operaciones, interfaces comprensibles y sincronización para que los cambios de una subasta se reflejen a tiempo. Si además la plataforma va a atender a varias instituciones, debe aislar los datos de cada una y manejar los permisos según su contexto. Es un problema de desarrollo de software que se aborda con actividades de análisis, diseño, construcción y validación técnica.</w:t>
            </w:r>
          </w:p>
          <w:p w:rsidR="00000000" w:rsidDel="00000000" w:rsidP="00000000" w:rsidRDefault="00000000" w:rsidRPr="00000000" w14:paraId="0000003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trabajo se ubica en Riohacha, La Guajira, y propone desarrollar una plataforma web educativa gamificada que reúna estas funciones. No se afirma que las instituciones del territorio carezcan de soluciones parecidas, porque eso exigiría un diagnóstico documentado de las herramientas que usan, y ese diagnóstico hace parte de la primera etapa del proyecto. Lo que se plantea es una alternativa integrada cuyo desempeño pueda evaluarse con pruebas de funcionamiento, seguridad, rendimiento, usabilidad y aceptación tecnológica.</w:t>
            </w:r>
          </w:p>
          <w:p w:rsidR="00000000" w:rsidDel="00000000" w:rsidP="00000000" w:rsidRDefault="00000000" w:rsidRPr="00000000" w14:paraId="0000003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entonces, no es la ausencia de elementos lúdicos en las plataformas educativas, sino el reto de desarrollar un sistema de información que integre de forma coherente las recompensas digitales simbólicas, las subastas y la asistencia de inteligencia artificial. Las operaciones deben ejecutarse según reglas de negocio definidas, la información debe mantenerse consistente y los usuarios deben poder interactuar con la plataforma de manera comprensible y segura. La validación permitirá comprobar si se cumplen esos requisitos y si los usuarios participantes la aceptan. También podrá recoger percepciones preliminares sobre la motivación, sin atribuirle de antemano a la plataforma efectos demostrados sobre la motivación o el rendimiento académico.</w:t>
            </w:r>
          </w:p>
        </w:tc>
      </w:tr>
      <w:tr>
        <w:trPr>
          <w:cantSplit w:val="0"/>
          <w:tblHeader w:val="0"/>
        </w:trPr>
        <w:tc>
          <w:tcPr/>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pacing w:after="160" w:line="360" w:lineRule="auto"/>
              <w:ind w:left="36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FORMULACIÓN DEL PROBLEMA</w:t>
            </w:r>
            <w:r w:rsidDel="00000000" w:rsidR="00000000" w:rsidRPr="00000000">
              <w:rPr>
                <w:rtl w:val="0"/>
              </w:rPr>
            </w:r>
          </w:p>
          <w:p w:rsidR="00000000" w:rsidDel="00000000" w:rsidP="00000000" w:rsidRDefault="00000000" w:rsidRPr="00000000" w14:paraId="0000003C">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¿Cómo desarrollar una plataforma web educativa gamificada, con arquitectura modular, que integre recompensas digitales simbólicas, subastas en tiempo real y asistencia de inteligencia artificial, y cuál es su nivel de calidad técnica y de aceptación tecnológica por parte de los usuarios?</w:t>
            </w:r>
            <w:r w:rsidDel="00000000" w:rsidR="00000000" w:rsidRPr="00000000">
              <w:rPr>
                <w:rtl w:val="0"/>
              </w:rPr>
            </w:r>
          </w:p>
        </w:tc>
      </w:tr>
      <w:tr>
        <w:trPr>
          <w:cantSplit w:val="0"/>
          <w:tblHeader w:val="0"/>
        </w:trPr>
        <w:tc>
          <w:tcPr/>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pacing w:after="160" w:line="360" w:lineRule="auto"/>
              <w:ind w:left="36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OBJETIVOS DEL PROYECTO </w:t>
            </w:r>
            <w:r w:rsidDel="00000000" w:rsidR="00000000" w:rsidRPr="00000000">
              <w:rPr>
                <w:rtl w:val="0"/>
              </w:rPr>
            </w:r>
          </w:p>
          <w:p w:rsidR="00000000" w:rsidDel="00000000" w:rsidP="00000000" w:rsidRDefault="00000000" w:rsidRPr="00000000" w14:paraId="0000003E">
            <w:pPr>
              <w:numPr>
                <w:ilvl w:val="1"/>
                <w:numId w:val="6"/>
              </w:numPr>
              <w:pBdr>
                <w:top w:space="0" w:sz="0" w:val="nil"/>
                <w:left w:space="0" w:sz="0" w:val="nil"/>
                <w:bottom w:space="0" w:sz="0" w:val="nil"/>
                <w:right w:space="0" w:sz="0" w:val="nil"/>
                <w:between w:space="0" w:sz="0" w:val="nil"/>
              </w:pBdr>
              <w:spacing w:after="160" w:line="360" w:lineRule="auto"/>
              <w:ind w:left="792" w:hanging="432"/>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OBJETIVO GENERAL</w:t>
            </w:r>
          </w:p>
          <w:p w:rsidR="00000000" w:rsidDel="00000000" w:rsidP="00000000" w:rsidRDefault="00000000" w:rsidRPr="00000000" w14:paraId="0000003F">
            <w:pPr>
              <w:spacing w:after="16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Desarrollar una plataforma web educativa gamificada, con </w:t>
            </w:r>
            <w:sdt>
              <w:sdtPr>
                <w:id w:val="-572884146"/>
                <w:tag w:val="goog_rdk_0"/>
              </w:sdtPr>
              <w:sdtContent/>
            </w:sdt>
            <w:r w:rsidDel="00000000" w:rsidR="00000000" w:rsidRPr="00000000">
              <w:rPr>
                <w:rFonts w:ascii="Times New Roman" w:cs="Times New Roman" w:eastAsia="Times New Roman" w:hAnsi="Times New Roman"/>
                <w:sz w:val="24"/>
                <w:szCs w:val="24"/>
                <w:rtl w:val="0"/>
              </w:rPr>
              <w:t xml:space="preserve">arquitectura modular</w:t>
            </w:r>
            <w:r w:rsidDel="00000000" w:rsidR="00000000" w:rsidRPr="00000000">
              <w:rPr>
                <w:rFonts w:ascii="Times New Roman" w:cs="Times New Roman" w:eastAsia="Times New Roman" w:hAnsi="Times New Roman"/>
                <w:sz w:val="24"/>
                <w:szCs w:val="24"/>
                <w:rtl w:val="0"/>
              </w:rPr>
              <w:t xml:space="preserve"> y asistencia de inteligencia artificial, para la gestión de recompensas académicas y su canje mediante subastas.</w:t>
            </w:r>
            <w:r w:rsidDel="00000000" w:rsidR="00000000" w:rsidRPr="00000000">
              <w:rPr>
                <w:rtl w:val="0"/>
              </w:rPr>
            </w:r>
          </w:p>
          <w:p w:rsidR="00000000" w:rsidDel="00000000" w:rsidP="00000000" w:rsidRDefault="00000000" w:rsidRPr="00000000" w14:paraId="00000040">
            <w:pPr>
              <w:numPr>
                <w:ilvl w:val="1"/>
                <w:numId w:val="6"/>
              </w:numPr>
              <w:pBdr>
                <w:top w:space="0" w:sz="0" w:val="nil"/>
                <w:left w:space="0" w:sz="0" w:val="nil"/>
                <w:bottom w:space="0" w:sz="0" w:val="nil"/>
                <w:right w:space="0" w:sz="0" w:val="nil"/>
                <w:between w:space="0" w:sz="0" w:val="nil"/>
              </w:pBdr>
              <w:spacing w:after="160" w:line="360" w:lineRule="auto"/>
              <w:ind w:left="792" w:hanging="432"/>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OBJETIVOS ESPECÍFICOS</w:t>
            </w:r>
          </w:p>
          <w:p w:rsidR="00000000" w:rsidDel="00000000" w:rsidP="00000000" w:rsidRDefault="00000000" w:rsidRPr="00000000" w14:paraId="00000041">
            <w:pPr>
              <w:numPr>
                <w:ilvl w:val="0"/>
                <w:numId w:val="4"/>
              </w:numPr>
              <w:spacing w:after="40" w:before="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los requerimientos funcionales y no funcionales del sistema mediante el estudio de las dinámicas de evaluación e incentivos escolares, para definir el modelo de datos, la arquitectura lógica y los flujos transaccionales de la plataforma.</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color w:val="000000"/>
                <w:sz w:val="24"/>
                <w:szCs w:val="24"/>
                <w:shd w:fill="auto" w:val="clear"/>
                <w:vertAlign w:val="baseline"/>
              </w:rPr>
            </w:pPr>
            <w:sdt>
              <w:sdtPr>
                <w:id w:val="450921288"/>
                <w:tag w:val="goog_rdk_1"/>
              </w:sdtPr>
              <w:sdtContent/>
            </w:sdt>
            <w:r w:rsidDel="00000000" w:rsidR="00000000" w:rsidRPr="00000000">
              <w:rPr>
                <w:rFonts w:ascii="Times New Roman" w:cs="Times New Roman" w:eastAsia="Times New Roman" w:hAnsi="Times New Roman"/>
                <w:sz w:val="24"/>
                <w:szCs w:val="24"/>
                <w:rtl w:val="0"/>
              </w:rPr>
              <w:t xml:space="preserve">Modelar la arquitectura modular del software y su modelo de datos relacional, de manera que se garantice el aislamiento lógico de la información entre instituciones.</w:t>
            </w:r>
            <w:r w:rsidDel="00000000" w:rsidR="00000000" w:rsidRPr="00000000">
              <w:rPr>
                <w:rFonts w:ascii="Times New Roman" w:cs="Times New Roman" w:eastAsia="Times New Roman" w:hAnsi="Times New Roman"/>
                <w:sz w:val="24"/>
                <w:szCs w:val="24"/>
                <w:rtl w:val="0"/>
              </w:rPr>
              <w:t xml:space="preserve"/>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mallCaps w:val="0"/>
                <w:strike w:val="0"/>
                <w:color w:val="000000"/>
                <w:sz w:val="24"/>
                <w:szCs w:val="24"/>
                <w:shd w:fill="auto" w:val="clear"/>
                <w:vertAlign w:val="baseline"/>
              </w:rPr>
            </w:pPr>
            <w:sdt>
              <w:sdtPr>
                <w:id w:val="-147029007"/>
                <w:tag w:val="goog_rdk_2"/>
              </w:sdtPr>
              <w:sdtContent/>
            </w:sdt>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Diseñar las interfaces de usuario de la plataforma para los roles de estudiante, docente y directivo docente, adaptables a distintos dispositivos.</w:t>
            </w:r>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Construir los módulos del sistema de información correspondientes a la gestión de aulas, grupos y actividades, la billetera digital transaccional, las subastas en tiempo real, los reportes institucionales y el asistente de inteligencia artificial, con verificación de permisos y confirmación en las operaciones sensibles.</w:t>
            </w:r>
            <w:r w:rsidDel="00000000" w:rsidR="00000000" w:rsidRPr="00000000">
              <w:rPr>
                <w:rFonts w:ascii="Times New Roman" w:cs="Times New Roman" w:eastAsia="Times New Roman" w:hAnsi="Times New Roman"/>
                <w:sz w:val="24"/>
                <w:szCs w:val="24"/>
                <w:rtl w:val="0"/>
              </w:rPr>
              <w:t xml:space="preserve"/>
            </w:r>
            <w:r w:rsidDel="00000000" w:rsidR="00000000" w:rsidRPr="00000000">
              <w:rPr>
                <w:rtl w:val="0"/>
              </w:rPr>
            </w:r>
          </w:p>
          <w:p w:rsidR="00000000" w:rsidDel="00000000" w:rsidP="00000000" w:rsidRDefault="00000000" w:rsidRPr="000000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Validar la calidad técnica del software y su aceptación por los usuarios en un entorno de pruebas controlado, mediante pruebas funcionales, de integración, de desempeño y de seguridad y la aplicación del Modelo de Aceptación Tecnológica.</w:t>
            </w:r>
            <w:r w:rsidDel="00000000" w:rsidR="00000000" w:rsidRPr="00000000">
              <w:rPr>
                <w:rtl w:val="0"/>
              </w:rPr>
            </w:r>
          </w:p>
        </w:tc>
      </w:tr>
      <w:tr>
        <w:trPr>
          <w:cantSplit w:val="0"/>
          <w:tblHeader w:val="0"/>
        </w:trPr>
        <w:tc>
          <w:tcPr/>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pacing w:after="160" w:line="360" w:lineRule="auto"/>
              <w:ind w:left="360" w:hanging="360"/>
              <w:jc w:val="both"/>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tl w:val="0"/>
              </w:rPr>
            </w:r>
          </w:p>
          <w:p w:rsidR="00000000" w:rsidDel="00000000" w:rsidP="00000000" w:rsidRDefault="00000000" w:rsidRPr="00000000" w14:paraId="00000046">
            <w:pPr>
              <w:spacing w:after="60" w:before="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sistemas de información que usan hoy muchas instituciones educativas sirven sobre todo para guardar y consultar calificaciones. Se quedan cortos cuando se quiere ir un poco más allá: llevar un registro transparente de los reconocimientos que recibe un estudiante, controlar los saldos de las recompensas o permitir que docentes y directivos consulten y registren información sin recorrer varias pantallas. Desarrollar una plataforma que atienda estas necesidades es conveniente porque pasa de un repositorio de datos a un sistema interactivo, transaccional y automatizado, con reglas claras que se pueden probar. El proyecto se inscribe además en la línea de investigación de Desarrollo de Software y Sistemas de Información de la Universidad de La Guajira.</w:t>
            </w:r>
          </w:p>
          <w:p w:rsidR="00000000" w:rsidDel="00000000" w:rsidP="00000000" w:rsidRDefault="00000000" w:rsidRPr="00000000" w14:paraId="0000004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ingeniería de software, el trabajo es pertinente porque obliga a resolver problemas reales de diseño. Hay que separar la interfaz, la lógica de negocio y los datos en capas independientes, exponer los servicios mediante interfaces bien definidas, mantener consistentes los saldos cuando varios usuarios participan al mismo tiempo en una subasta, aislar la información de cada institución y controlar lo que puede hacer un asistente de inteligencia artificial. Sommerville (2011) sostiene que una ingeniería de requisitos clara, una arquitectura modular y pruebas constantes son la base de la calidad de un software, y el proyecto aplica esas ideas de principio a fin.</w:t>
            </w:r>
          </w:p>
          <w:p w:rsidR="00000000" w:rsidDel="00000000" w:rsidP="00000000" w:rsidRDefault="00000000" w:rsidRPr="00000000" w14:paraId="0000004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 práctico, la plataforma busca atender la fragmentación de la información y la carga administrativa de los docentes. Al automatizar la asignación de recompensas digitales y dejar que un asistente de inteligencia artificial ejecute consultas, genere reportes y registre calificaciones y recompensas a partir de instrucciones escritas en lenguaje natural, se pretende reducir el tiempo que docentes y directivos dedican a tareas operativas repetitivas. Ese asistente actúa dentro de los permisos de cada usuario y pide confirmación antes de ejecutar operaciones sensibles, de modo que la decisión final sigue en manos de una persona. Por su parte, el motor de subastas debe resolver la concurrencia en tiempo real y la retención de saldos, algo que exige un tratamiento más cuidadoso que el simple registro de notas.</w:t>
            </w:r>
          </w:p>
          <w:p w:rsidR="00000000" w:rsidDel="00000000" w:rsidP="00000000" w:rsidRDefault="00000000" w:rsidRPr="00000000" w14:paraId="0000004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 teórico, el trabajo deja un caso documentado de cómo integrar un modelo de lenguaje de gran tamaño con una base de datos relacional en un entorno educativo, sin que el modelo tenga acceso libre a la información: las solicitudes se validan, los permisos se verifican y los resultados se comprueban. También aporta evidencia sobre cómo un esquema de aislamiento lógico entre instituciones puede proteger la privacidad sin sacrificar el rendimiento, lo que puede servir de referencia para otros desarrollos informáticos de la universidad. La gamificación se toma aquí como el uso de elementos de diseño de juegos en un contexto que no es de juego (Deterding et al., 2011) y se trata como un problema de software, sin atribuirle por sí sola efectos sobre el aprendizaje.</w:t>
            </w:r>
          </w:p>
          <w:p w:rsidR="00000000" w:rsidDel="00000000" w:rsidP="00000000" w:rsidRDefault="00000000" w:rsidRPr="00000000" w14:paraId="0000004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Metodológicamente, la investigación deja un caso práctico del ciclo de vida del desarrollo de un software, desde la elicitación de requisitos hasta las pruebas y la validación con usuarios. Para valorar la usabilidad se recurre al Modelo de Aceptación Tecnológica de Davis (1989), que mide la facilidad de uso y la utilidad percibida con instrumentos estandarizados y evita depender de opiniones sueltas. Ese modelo se combina con pruebas unitarias y de integración, de manera que la calidad del producto se verifica tanto desde el código como desde la experiencia de quienes lo usan.</w:t>
            </w:r>
          </w:p>
          <w:p w:rsidR="00000000" w:rsidDel="00000000" w:rsidP="00000000" w:rsidRDefault="00000000" w:rsidRPr="00000000" w14:paraId="0000004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último, el proyecto tiene un valor social e institucional. Aporta a la transformación digital del sector educativo de La Guajira con un producto que puede adaptarse a distintas instituciones, mejora la trazabilidad de la información académica y deja una base técnica reutilizable para la Universidad de La Guajira. Se alinea con el Objetivo de Desarrollo Sostenible 4, educación de calidad, al ofrecer herramientas para la gestión y el reconocimiento del esfuerzo académico. Y forma a los investigadores en prácticas profesionales de diseño, seguridad y pruebas de software.</w:t>
            </w:r>
          </w:p>
        </w:tc>
      </w:tr>
    </w:tbl>
    <w:p w:rsidR="00000000" w:rsidDel="00000000" w:rsidP="00000000" w:rsidRDefault="00000000" w:rsidRPr="00000000" w14:paraId="0000004C">
      <w:pPr>
        <w:spacing w:line="360" w:lineRule="auto"/>
        <w:jc w:val="both"/>
        <w:rPr>
          <w:rFonts w:ascii="Times New Roman" w:cs="Times New Roman" w:eastAsia="Times New Roman" w:hAnsi="Times New Roman"/>
        </w:rPr>
      </w:pPr>
      <w:r w:rsidDel="00000000" w:rsidR="00000000" w:rsidRPr="00000000">
        <w:rPr>
          <w:rtl w:val="0"/>
        </w:rPr>
      </w:r>
    </w:p>
    <w:tbl>
      <w:tblPr>
        <w:tblStyle w:val="Table4"/>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pacing w:line="360" w:lineRule="auto"/>
              <w:ind w:left="360" w:hanging="360"/>
              <w:jc w:val="both"/>
              <w:rPr/>
            </w:pPr>
            <w:r w:rsidDel="00000000" w:rsidR="00000000" w:rsidRPr="00000000">
              <w:rPr>
                <w:rFonts w:ascii="Times New Roman" w:cs="Times New Roman" w:eastAsia="Times New Roman" w:hAnsi="Times New Roman"/>
                <w:b w:val="1"/>
                <w:bCs w:val="1"/>
                <w:sz w:val="24"/>
                <w:szCs w:val="24"/>
                <w:rtl w:val="0"/>
              </w:rPr>
              <w:t xml:space="preserve">DELIMITACIÓN</w:t>
            </w:r>
            <w:r w:rsidDel="00000000" w:rsidR="00000000" w:rsidRPr="00000000">
              <w:rPr>
                <w:rtl w:val="0"/>
              </w:rPr>
            </w:r>
          </w:p>
          <w:p w:rsidR="00000000" w:rsidDel="00000000" w:rsidP="00000000" w:rsidRDefault="00000000" w:rsidRPr="00000000" w14:paraId="0000004E">
            <w:pPr>
              <w:spacing w:after="16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investigación se delimita en cinco aspectos: el espacio y los participantes, el alcance funcional, el tiempo, los recursos y las limitaciones del estudio.</w:t>
            </w:r>
          </w:p>
          <w:p w:rsidR="00000000" w:rsidDel="00000000" w:rsidP="00000000" w:rsidRDefault="00000000" w:rsidRPr="00000000" w14:paraId="0000004F">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Delimitación espacial y poblacional. </w:t>
            </w:r>
            <w:r w:rsidDel="00000000" w:rsidR="00000000" w:rsidRPr="00000000">
              <w:rPr>
                <w:rFonts w:ascii="Times New Roman" w:cs="Times New Roman" w:eastAsia="Times New Roman" w:hAnsi="Times New Roman"/>
                <w:sz w:val="24"/>
                <w:szCs w:val="24"/>
                <w:rtl w:val="0"/>
              </w:rPr>
              <w:t xml:space="preserve">El análisis, el diseño, el desarrollo y las pruebas técnicas se realizan en la Universidad de La Guajira, sede Riohacha, y en entornos virtuales de trabajo. Las pruebas de integración, rendimiento y seguridad se ejecutan sobre el sistema desplegado en la nube. La validación con usuarios y la aplicación del Modelo de Aceptación Tecnológica se llevan a cabo en un ambiente controlado con dos grupos: un grupo de usuarios finales, formado por estudiantes de educación media de una institución educativa local de Riohacha y sus docentes, y un grupo técnico de estudiantes y docentes de Ingeniería de Sistemas de la universidad. Si la institución local no concede la autorización a tiempo, la validación se hace solo con el grupo técnico, de modo que el proyecto no depende de trámites externos que podrían retrasarlo. Como la plataforma funciona en la nube, puede usarse desde cualquier lugar con conexión a internet, pero eso no amplía el alcance de este trabajo: su puesta en marcha en colegios u otras instituciones queda como trabajo futuro.</w:t>
            </w:r>
          </w:p>
          <w:p w:rsidR="00000000" w:rsidDel="00000000" w:rsidP="00000000" w:rsidRDefault="00000000" w:rsidRPr="00000000" w14:paraId="00000050">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Delimitación de alcance técnico y funcional. </w:t>
            </w:r>
            <w:r w:rsidDel="00000000" w:rsidR="00000000" w:rsidRPr="00000000">
              <w:rPr>
                <w:rFonts w:ascii="Times New Roman" w:cs="Times New Roman" w:eastAsia="Times New Roman" w:hAnsi="Times New Roman"/>
                <w:sz w:val="24"/>
                <w:szCs w:val="24"/>
                <w:rtl w:val="0"/>
              </w:rPr>
              <w:t xml:space="preserve">El proyecto entrega un producto mínimo viable, funcional y estable, de un sistema de gestión de incentivos académicos gamificados. No reemplaza a los sistemas de gestión del aprendizaje que ya existen, como Moodle o Google Classroom, ni busca cargar material bibliográfico o dictar clases en video. El alcance funcional se limita a los módulos de gestión de aulas, grupos y actividades, la billetera digital, las subastas en tiempo real, los reportes institucionales y el asistente de inteligencia artificial. Este último se restringe a consultar información, generar reportes y registrar calificaciones y recompensas, siempre dentro de los permisos del usuario y con confirmación en las operaciones sensibles. La economía es simulada: las monedas no tienen valor real y la plataforma no incluye pasarelas de pago. Tampoco se mide el efecto de la plataforma sobre el rendimiento académico, porque la evaluación se centra en la calidad técnica y en la aceptación por parte de los usuarios.</w:t>
            </w:r>
          </w:p>
          <w:p w:rsidR="00000000" w:rsidDel="00000000" w:rsidP="00000000" w:rsidRDefault="00000000" w:rsidRPr="00000000" w14:paraId="00000051">
            <w:pPr>
              <w:numPr>
                <w:ilvl w:val="0"/>
                <w:numId w:val="2"/>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Delimitación temporal. </w:t>
            </w:r>
            <w:r w:rsidDel="00000000" w:rsidR="00000000" w:rsidRPr="00000000">
              <w:rPr>
                <w:rFonts w:ascii="Times New Roman" w:cs="Times New Roman" w:eastAsia="Times New Roman" w:hAnsi="Times New Roman"/>
                <w:sz w:val="24"/>
                <w:szCs w:val="24"/>
                <w:rtl w:val="0"/>
              </w:rPr>
              <w:t xml:space="preserve">La investigación se desarrolla en nueve meses, entre octubre de 2026 y junio de 2027, dentro del calendario académico de la universidad. El cronograma sigue las fases iterativas e incrementales del desarrollo de software, desde la elicitación y el análisis de requisitos hasta el diseño, la construcción, las pruebas, la validación con usuarios y la redacción del informe final. Cada fase tiene entregables definidos, lo que permite revisar el avance de forma periódica.</w:t>
            </w:r>
          </w:p>
          <w:p w:rsidR="00000000" w:rsidDel="00000000" w:rsidP="00000000" w:rsidRDefault="00000000" w:rsidRPr="00000000" w14:paraId="00000052">
            <w:pPr>
              <w:numPr>
                <w:ilvl w:val="0"/>
                <w:numId w:val="2"/>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Delimitación de viabilidad y recursos. </w:t>
            </w:r>
            <w:r w:rsidDel="00000000" w:rsidR="00000000" w:rsidRPr="00000000">
              <w:rPr>
                <w:rFonts w:ascii="Times New Roman" w:cs="Times New Roman" w:eastAsia="Times New Roman" w:hAnsi="Times New Roman"/>
                <w:sz w:val="24"/>
                <w:szCs w:val="24"/>
                <w:rtl w:val="0"/>
              </w:rPr>
              <w:t xml:space="preserve">El proyecto es viable porque no requiere licencias comerciales de software. Se emplean tecnologías y marcos de trabajo de código abierto y servicios en la nube con capa gratuita o de bajo costo, entre ellos el acceso a un modelo de lenguaje mediante interfaz de programación. Los investigadores cuentan con la formación en ingeniería de sistemas que el desarrollo requiere y con acceso a los laboratorios y la conectividad de la universidad. La principal inversión son las horas de análisis, diseño y programación, estimadas en diez horas semanales por investigador. Si el consumo de los servicios en la nube supera la capa gratuita durante las pruebas, el costo se cubre con recursos propios. El riesgo técnico más claro es la dependencia de servicios de terceros, en particular del modelo de lenguaje, por lo que se busca que el asistente sea un componente reemplazable sin afectar al resto del sistema.</w:t>
            </w:r>
          </w:p>
        </w:tc>
      </w:tr>
    </w:tbl>
    <w:p w:rsidR="00000000" w:rsidDel="00000000" w:rsidP="00000000" w:rsidRDefault="00000000" w:rsidRPr="00000000" w14:paraId="00000053">
      <w:pPr>
        <w:spacing w:line="360" w:lineRule="auto"/>
        <w:jc w:val="both"/>
        <w:rPr>
          <w:rFonts w:ascii="Times New Roman" w:cs="Times New Roman" w:eastAsia="Times New Roman" w:hAnsi="Times New Roman"/>
        </w:rPr>
      </w:pPr>
      <w:r w:rsidDel="00000000" w:rsidR="00000000" w:rsidRPr="00000000">
        <w:rPr>
          <w:rtl w:val="0"/>
        </w:rPr>
      </w:r>
    </w:p>
    <w:tbl>
      <w:tblPr>
        <w:tblStyle w:val="Table5"/>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pacing w:line="360" w:lineRule="auto"/>
              <w:ind w:left="36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MARCO TEÓRICO </w:t>
            </w:r>
          </w:p>
          <w:p w:rsidR="00000000" w:rsidDel="00000000" w:rsidP="00000000" w:rsidRDefault="00000000" w:rsidRPr="00000000" w14:paraId="00000055">
            <w:pPr>
              <w:spacing w:after="12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marco teórico tiene dos partes. La primera revisa investigaciones previas que tocan distintos aspectos del proyecto: la gamificación en educación, las monedas virtuales como recompensa, las subastas en el aula, la aceptación tecnológica, los asistentes basados en modelos de lenguaje y el aislamiento de datos entre instituciones. La segunda fundamenta las dos variables del estudio, la plataforma web educativa gamificada y la usabilidad y aceptación tecnológica, y de ahí salen las dimensiones y los indicadores que se miden en la investigación.</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numPr>
                <w:ilvl w:val="1"/>
                <w:numId w:val="6"/>
              </w:numPr>
              <w:pBdr>
                <w:top w:space="0" w:sz="0" w:val="nil"/>
                <w:left w:space="0" w:sz="0" w:val="nil"/>
                <w:bottom w:space="0" w:sz="0" w:val="nil"/>
                <w:right w:space="0" w:sz="0" w:val="nil"/>
                <w:between w:space="0" w:sz="0" w:val="nil"/>
              </w:pBdr>
              <w:spacing w:line="360" w:lineRule="auto"/>
              <w:ind w:left="792" w:hanging="432"/>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ANTECEDENTES DE LA INVESTIGACIÓN</w:t>
            </w:r>
            <w:r w:rsidDel="00000000" w:rsidR="00000000" w:rsidRPr="00000000">
              <w:rPr>
                <w:rtl w:val="0"/>
              </w:rPr>
            </w:r>
          </w:p>
          <w:p w:rsidR="00000000" w:rsidDel="00000000" w:rsidP="00000000" w:rsidRDefault="00000000" w:rsidRPr="00000000" w14:paraId="00000058">
            <w:pPr>
              <w:spacing w:after="12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Sailer y Homner (2020) hicieron un metaanálisis sobre la gamificación del aprendizaje, publicado en Educational Psychology Review. Encontraron efectos positivos pero pequeños sobre los resultados cognitivos, motivacionales y conductuales, con tamaños del efecto de 0,49, 0,36 y 0,25 respectivamente, aunque con bastante heterogeneidad entre los estudios. Cuando limitaron el análisis a los estudios metodológicamente más rigurosos, solo se mantuvo el efecto cognitivo. Este antecedente pesa en la propuesta por su cautela: la gamificación puede ayudar, pero sus efectos dependen del diseño y del contexto, y por eso el presente trabajo no promete resultados sobre la motivación o el rendimiento, sino que evalúa la calidad técnica y la aceptación del software.</w:t>
            </w:r>
          </w:p>
          <w:p w:rsidR="00000000" w:rsidDel="00000000" w:rsidP="00000000" w:rsidRDefault="00000000" w:rsidRPr="00000000" w14:paraId="00000059">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Domínguez et al. (2013) construyeron un complemento de gamificación para una plataforma de aprendizaje en línea ampliamente usada y lo probaron en un curso universitario, con datos cuantitativos y cualitativos. Los estudiantes del curso gamificado obtuvieron mejores resultados en las tareas prácticas y en la calificación global, pero peores en las tareas escritas, y participaron menos en las actividades de clase, aunque partían de una motivación mayor. Es un antecedente directo de desarrollo de un componente de software gamificado y muestra que sus efectos no son uniformes, lo que respalda evaluar el sistema antes de afirmar beneficios.</w:t>
            </w:r>
          </w:p>
          <w:p w:rsidR="00000000" w:rsidDel="00000000" w:rsidP="00000000" w:rsidRDefault="00000000" w:rsidRPr="00000000" w14:paraId="0000005A">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Dicheva et al. (2022) estudiaron, en el marco de la European Conference on Technology Enhanced Learning, el efecto de una moneda virtual canjeable sobre la práctica fuera de clase en un curso de Estructuras Discretas. Participaron 82 estudiantes en tres secciones, con 49 en el grupo experimental y 33 en el de control. El grupo con moneda virtual intentó 6.485 ejercicios de calentamiento frente a 1.384 del grupo de control, pero no hubo diferencias significativas en las calificaciones ni en la motivación intrínseca. Este trabajo respalda la idea de una moneda simbólica para incentivar la participación, como la que plantea esta propuesta, y a la vez confirma que el aumento de participación no se traduce automáticamente en mejores notas.</w:t>
            </w:r>
          </w:p>
          <w:p w:rsidR="00000000" w:rsidDel="00000000" w:rsidP="00000000" w:rsidRDefault="00000000" w:rsidRPr="00000000" w14:paraId="0000005B">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Elveren (2025) describe, en The Economics Network, un juego de subastas de varias etapas para enseñar teoría de juegos. Los estudiantes, en equipos de tres o cuatro, reparten un presupuesto ficticio de 100 unidades entre dos subastas de sobre cerrado y una subasta abierta, en una sesión de 50 a 75 minutos. La evidencia que reporta es anecdótica, basada en la observación del docente y en comentarios informales de los estudiantes tras años de uso: alta participación, entusiasmo y, según el autor, mejor retención de conceptos que con clases magistrales. Es un antecedente de la subasta con presupuesto limitado como dinámica de aula. Aquí la dinámica se ejecuta a mano y en una sola sesión, mientras que esta propuesta busca que un sistema aplique las reglas, controle los saldos y registre cada oferta.</w:t>
            </w:r>
          </w:p>
          <w:p w:rsidR="00000000" w:rsidDel="00000000" w:rsidP="00000000" w:rsidRDefault="00000000" w:rsidRPr="00000000" w14:paraId="0000005C">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colombiano, Mantilla y Rojas (2016) desarrollaron en la Universidad Autónoma de Bucaramanga, como trabajo de grado de Ingeniería de Sistemas, un prototipo de plataforma para apoyar la gamificación en un curso de programación de computadores. Parten de que los elementos de juego pueden aumentar la motivación y el interés de los estudiantes, revisan plataformas existentes como ClassDojo y Bunchball, comparan alternativas de desarrollo y entregan documentos de análisis, diseño, un prototipo funcional y un informe de evaluación. Es un precedente directo del enfoque de este trabajo, que es construir y evaluar un software con las etapas de la ingeniería. A diferencia de él, esta propuesta incorpora una economía de monedas con subastas, asistencia de inteligencia artificial y una arquitectura para varias instituciones. En el registro consultado no se publican los resultados de la evaluación de ese prototipo.</w:t>
            </w:r>
          </w:p>
          <w:p w:rsidR="00000000" w:rsidDel="00000000" w:rsidP="00000000" w:rsidRDefault="00000000" w:rsidRPr="00000000" w14:paraId="0000005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la propia universidad, Páez (2025) diseñó, como tesis de la Maestría en Dirección y Gestión de Proyectos de la Universidad Santo Tomás, un sistema gamificado sobre Moodle para simular las pruebas Saber Pro en la Universidad de La Guajira, siguiendo la guía del PMBOK v6. Es un trabajo de diseño que se apoya en un sistema de gestión del aprendizaje existente. Es el antecedente más cercano en el contexto institucional y muestra interés por la gamificación en la región. Se diferencia de esta propuesta en que parte de Moodle y no de un software propio, y en que la presente añade una economía de recompensas con subastas y asistencia de inteligencia artificial.</w:t>
            </w:r>
          </w:p>
          <w:p w:rsidR="00000000" w:rsidDel="00000000" w:rsidP="00000000" w:rsidRDefault="00000000" w:rsidRPr="00000000" w14:paraId="0000005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Melendez Arava et al. (2024) presentaron un estudio preliminar sobre la aceptación y el uso de un entorno gamificado en educación superior, con el Modelo de Aceptación Tecnológica como marco y una metodología secuencial de investigación y desarrollo. Concluyen que integrar entornos gamificados es una estrategia valiosa y atractiva, y que los estudiantes se mostraron entusiasmados cuando se incluyeron elementos de juego. Comparte con esta propuesta el modelo de validación, aunque el entorno que estudian no incluye subastas ni asistente de inteligencia artificial.</w:t>
            </w:r>
          </w:p>
          <w:p w:rsidR="00000000" w:rsidDel="00000000" w:rsidP="00000000" w:rsidRDefault="00000000" w:rsidRPr="00000000" w14:paraId="0000005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Mittal et al. (2025) publicaron como preprint EduMod-LLM, un asistente educativo modular que usa invocación de funciones de un modelo de lenguaje para decidir de qué fuente responder las preguntas de los estudiantes. Lo evaluaron con unas 1.000 preguntas reales del foro de un curso de la Universidad de California, Berkeley. El mejor de los flujos que probaron alcanzó un F1 de 0,891, frente a 0,905 de un sistema basado en reglas, con calidad de respuesta similar o ligeramente superior. Muestra que la invocación de funciones es viable en un contexto educativo. Se diferencia de esta propuesta en que su asistente consulta información para responder, mientras que el asistente aquí previsto también debe ejecutar acciones de gestión, lo que exige validar permisos y pedir confirmación en las operaciones sensibles.</w:t>
            </w:r>
          </w:p>
          <w:p w:rsidR="00000000" w:rsidDel="00000000" w:rsidP="00000000" w:rsidRDefault="00000000" w:rsidRPr="00000000" w14:paraId="0000006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Bezemer et al. (2010), en un informe técnico de la Universidad Tecnológica de Delft aceptado en la International Conference on Software Maintenance, describen la conversión de un sistema industrial de un solo cliente a uno de múltiples inquilinos, conocido como multi-tenancy, donde varios clientes comparten una misma instancia de la aplicación y de la base de datos. Su patrón filtra todas las consultas por un identificador de inquilino tomado de la autenticación, de modo que cada cliente solo accede a sus datos. Reportan que el cambio requirió unas 100 líneas de código y cerca de cinco días, y advierten que, al compartir la instancia, un problema causado por un inquilino puede afectar a los demás. Es el antecedente técnico del aislamiento lógico de la información entre instituciones que se plantea en esta propuesta.</w:t>
            </w:r>
          </w:p>
          <w:p w:rsidR="00000000" w:rsidDel="00000000" w:rsidP="00000000" w:rsidRDefault="00000000" w:rsidRPr="00000000" w14:paraId="00000061">
            <w:pPr>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En conjunto, las fuentes revisadas abordan por separado la gamificación y las monedas virtuales, la aceptación tecnológica, los asistentes con modelos de lenguaje y el aislamiento multi-institución. En ellas no se encontró un trabajo que reúna en un mismo sistema recompensas simbólicas, subastas con control transaccional de saldos y un asistente de inteligencia artificial con permisos, y que lo evalúe con criterios de calidad de software y de aceptación del usuario. Ese vacío es el que busca atender esta investigación.</w:t>
            </w:r>
            <w:r w:rsidDel="00000000" w:rsidR="00000000" w:rsidRPr="00000000">
              <w:rPr>
                <w:rtl w:val="0"/>
              </w:rPr>
            </w:r>
          </w:p>
          <w:p w:rsidR="00000000" w:rsidDel="00000000" w:rsidP="00000000" w:rsidRDefault="00000000" w:rsidRPr="00000000" w14:paraId="00000062">
            <w:pPr>
              <w:numPr>
                <w:ilvl w:val="1"/>
                <w:numId w:val="6"/>
              </w:numPr>
              <w:pBdr>
                <w:top w:space="0" w:sz="0" w:val="nil"/>
                <w:left w:space="0" w:sz="0" w:val="nil"/>
                <w:bottom w:space="0" w:sz="0" w:val="nil"/>
                <w:right w:space="0" w:sz="0" w:val="nil"/>
                <w:between w:space="0" w:sz="0" w:val="nil"/>
              </w:pBdr>
              <w:spacing w:line="360" w:lineRule="auto"/>
              <w:ind w:left="792" w:hanging="432"/>
              <w:jc w:val="both"/>
              <w:rPr>
                <w:rFonts w:ascii="Times New Roman" w:cs="Times New Roman" w:eastAsia="Times New Roman" w:hAnsi="Times New Roman"/>
                <w:b w:val="1"/>
                <w:bCs w:val="1"/>
                <w:color w:val="000000"/>
                <w:sz w:val="24"/>
                <w:szCs w:val="24"/>
              </w:rPr>
            </w:pPr>
            <w:sdt>
              <w:sdtPr>
                <w:id w:val="-2019607430"/>
                <w:tag w:val="goog_rdk_3"/>
              </w:sdtPr>
              <w:sdtContent/>
            </w:sdt>
            <w:r w:rsidDel="00000000" w:rsidR="00000000" w:rsidRPr="00000000">
              <w:rPr>
                <w:rFonts w:ascii="Times New Roman" w:cs="Times New Roman" w:eastAsia="Times New Roman" w:hAnsi="Times New Roman"/>
                <w:b w:val="1"/>
                <w:bCs w:val="1"/>
                <w:color w:val="000000"/>
                <w:sz w:val="24"/>
                <w:szCs w:val="24"/>
                <w:rtl w:val="0"/>
              </w:rPr>
              <w:t xml:space="preserve">FUNDAMENTACIÓN TEÓRICA</w:t>
            </w:r>
            <w:r w:rsidDel="00000000" w:rsidR="00000000" w:rsidRPr="00000000">
              <w:rPr>
                <w:rtl w:val="0"/>
              </w:rPr>
            </w:r>
          </w:p>
          <w:p w:rsidR="00000000" w:rsidDel="00000000" w:rsidP="00000000" w:rsidRDefault="00000000" w:rsidRPr="00000000" w14:paraId="0000006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fundamentación sigue el procedimiento que pidió el director del semillero. Para cada variable se toman tres autores que la definen y se elige uno que la divida en dimensiones. Cada dimensión se respalda con tres autores. Los indicadores no se desarrollan en esta sección: se definen y se respaldan con sus autores en el cuadro de operacionalización. Cuando la fuente es una norma, como la ISO/IEC 25010, se cita la organización como autor.</w:t>
            </w:r>
          </w:p>
          <w:p w:rsidR="00000000" w:rsidDel="00000000" w:rsidP="00000000" w:rsidRDefault="00000000" w:rsidRPr="00000000" w14:paraId="00000064">
            <w:pPr>
              <w:spacing w:after="80" w:before="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6.2.1. Variable independiente: plataforma web educativa gamificada</w:t>
            </w:r>
            <w:r w:rsidDel="00000000" w:rsidR="00000000" w:rsidRPr="00000000">
              <w:rPr>
                <w:rtl w:val="0"/>
              </w:rPr>
            </w:r>
          </w:p>
          <w:p w:rsidR="00000000" w:rsidDel="00000000" w:rsidP="00000000" w:rsidRDefault="00000000" w:rsidRPr="00000000" w14:paraId="00000065">
            <w:pPr>
              <w:spacing w:after="40" w:before="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Definición de la variable</w:t>
            </w:r>
            <w:r w:rsidDel="00000000" w:rsidR="00000000" w:rsidRPr="00000000">
              <w:rPr>
                <w:rFonts w:ascii="Times New Roman" w:cs="Times New Roman" w:eastAsia="Times New Roman" w:hAnsi="Times New Roman"/>
                <w:sz w:val="24"/>
                <w:szCs w:val="24"/>
                <w:rtl w:val="0"/>
              </w:rPr>
              <w:t xml:space="preserve">: En esta investigación, una plataforma web educativa gamificada es un sistema de software al que se accede desde el navegador, orientado a la gestión de actividades académicas, que incorpora elementos de juego, como recompensas simbólicas, saldos y subastas, y asistencia de inteligencia artificial. La definición se apoya en tres autores, cada uno sobre una parte del concepto.</w:t>
            </w:r>
          </w:p>
          <w:p w:rsidR="00000000" w:rsidDel="00000000" w:rsidP="00000000" w:rsidRDefault="00000000" w:rsidRPr="00000000" w14:paraId="00000066">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(2011) aporta la base de ingeniería: un sistema de software se especifica mediante requisitos funcionales, que describen lo que el sistema hace, y requisitos no funcionales, que fijan restricciones de desempeño, seguridad o fiabilidad, y su calidad se juzga frente a ambos. Deterding et al. (2011) definen la gamificación como el uso de elementos de diseño de juegos en contextos que no son juegos, lo que permite tratarla como una decisión de diseño de software y no como una promesa pedagógica. Werbach y Hunter (2012) la desarrollan como una forma de pensar con la lógica de los juegos, conocida como game thinking, y ordenan sus elementos en tres niveles: dinámicas, mecánicas y componentes. La asistencia de inteligencia artificial no se trata como una dimensión aparte, sino como una función del sistema cuya calidad se mide dentro de la adecuación funcional.</w:t>
            </w:r>
          </w:p>
          <w:p w:rsidR="00000000" w:rsidDel="00000000" w:rsidP="00000000" w:rsidRDefault="00000000" w:rsidRPr="00000000" w14:paraId="00000067">
            <w:pPr>
              <w:spacing w:after="40" w:before="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Dimensiones de la variable:</w:t>
            </w:r>
            <w:r w:rsidDel="00000000" w:rsidR="00000000" w:rsidRPr="00000000">
              <w:rPr>
                <w:rFonts w:ascii="Times New Roman" w:cs="Times New Roman" w:eastAsia="Times New Roman" w:hAnsi="Times New Roman"/>
                <w:sz w:val="24"/>
                <w:szCs w:val="24"/>
                <w:rtl w:val="0"/>
              </w:rPr>
              <w:t xml:space="preserve"> No se identificó un autor único que reparta en dimensiones una variable que es a la vez un producto de software y un diseño gamificado, así que la variable se separa según las dos partes de su nombre y cada parte toma su fuente.</w:t>
            </w:r>
          </w:p>
          <w:p w:rsidR="00000000" w:rsidDel="00000000" w:rsidP="00000000" w:rsidRDefault="00000000" w:rsidRPr="00000000" w14:paraId="00000068">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parte de plataforma web se toma de la norma ISO/IEC 25010 (2011), que descompone la calidad de un producto de software en ocho características: adecuación funcional, eficiencia de desempeño, compatibilidad, usabilidad, fiabilidad, seguridad, mantenibilidad y portabilidad. De ellas se seleccionan cuatro: adecuación funcional, eficiencia de desempeño, seguridad y fiabilidad, porque corresponden a los puntos críticos del sistema y se verifican a lo largo de los objetivos específicos segundo, cuarto y quinto: las acciones del asistente, las subastas en tiempo real, el aislamiento entre instituciones y la consistencia de los saldos. La usabilidad no se incluye aquí porque se estudia como variable dependiente. La compatibilidad, la mantenibilidad y la portabilidad quedan fuera de la medición de esta etapa. Se emplea la edición de 2011 porque es la que define las subcaracterísticas aquí medidas; la edición de 2023 modifica algunas de ellas y se deja como referencia para una actualización posterior.</w:t>
            </w:r>
          </w:p>
          <w:p w:rsidR="00000000" w:rsidDel="00000000" w:rsidP="00000000" w:rsidRDefault="00000000" w:rsidRPr="00000000" w14:paraId="00000069">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parte gamificada se toma de Werbach y Hunter (2012), de quienes sale la quinta dimensión. Las dimensiones de la variable son entonces cinco: gamificación, adecuación funcional, eficiencia de desempeño, seguridad y fiabilidad.</w:t>
            </w:r>
          </w:p>
          <w:p w:rsidR="00000000" w:rsidDel="00000000" w:rsidP="00000000" w:rsidRDefault="00000000" w:rsidRPr="00000000" w14:paraId="0000006A">
            <w:pPr>
              <w:spacing w:after="40" w:before="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 1. Gamificación</w:t>
            </w:r>
            <w:r w:rsidDel="00000000" w:rsidR="00000000" w:rsidRPr="00000000">
              <w:rPr>
                <w:rtl w:val="0"/>
              </w:rPr>
            </w:r>
          </w:p>
          <w:p w:rsidR="00000000" w:rsidDel="00000000" w:rsidP="00000000" w:rsidRDefault="00000000" w:rsidRPr="00000000" w14:paraId="0000006B">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grado en que el diseño del sistema incorpora elementos de juego coherentes con las actividades académicas. Kapp (2012) la entiende como el uso de mecánicas de juego, estética y pensamiento de juego para motivar la acción y apoyar el aprendizaje. Zichermann y Cunningham (2011) la tratan como un asunto de diseño de aplicaciones web y móviles, con patrones para incorporar mecánicas de juego en el software. Sailer et al. (2017) comprobaron en un experimento que elementos concretos, como insignias, tablas de clasificación y gráficos de desempeño, producen efectos distintos, por lo que conviene definir con precisión qué elementos se incluyen.</w:t>
            </w:r>
          </w:p>
          <w:p w:rsidR="00000000" w:rsidDel="00000000" w:rsidP="00000000" w:rsidRDefault="00000000" w:rsidRPr="00000000" w14:paraId="00000070">
            <w:pPr>
              <w:spacing w:after="40" w:before="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 2. Adecuación funcional</w:t>
            </w:r>
            <w:r w:rsidDel="00000000" w:rsidR="00000000" w:rsidRPr="00000000">
              <w:rPr>
                <w:rtl w:val="0"/>
              </w:rPr>
            </w:r>
          </w:p>
          <w:p w:rsidR="00000000" w:rsidDel="00000000" w:rsidP="00000000" w:rsidRDefault="00000000" w:rsidRPr="00000000" w14:paraId="00000071">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norma ISO/IEC 25010 (2011) la define como el grado en que el producto ofrece las funciones que satisfacen las necesidades declaradas e implícitas, y la subdivide en completitud, corrección y pertinencia funcional. Sommerville (2011) la ubica en los requisitos funcionales, es decir, lo que el sistema debe hacer ante cada entrada. Pressman (2010) la vincula con la verificación de que el software cumple lo especificado. Myers et al. (2011) tratan las pruebas como la forma de comprobar que el programa se comporta como debe. Como las subcaracterísticas de la norma ya reparten la dimensión, ISO/IEC 25010 es la fuente de los tres indicadores.</w:t>
            </w:r>
          </w:p>
          <w:p w:rsidR="00000000" w:rsidDel="00000000" w:rsidP="00000000" w:rsidRDefault="00000000" w:rsidRPr="00000000" w14:paraId="00000075">
            <w:pPr>
              <w:spacing w:after="40" w:before="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 3. Eficiencia de desempeño</w:t>
            </w:r>
            <w:r w:rsidDel="00000000" w:rsidR="00000000" w:rsidRPr="00000000">
              <w:rPr>
                <w:rtl w:val="0"/>
              </w:rPr>
            </w:r>
          </w:p>
          <w:p w:rsidR="00000000" w:rsidDel="00000000" w:rsidP="00000000" w:rsidRDefault="00000000" w:rsidRPr="00000000" w14:paraId="00000076">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norma ISO/IEC 25010 (2011) la define como el desempeño del producto en relación con los recursos que utiliza, con tres componentes: comportamiento temporal, utilización de recursos y capacidad. Bass et al. (2012) tratan el desempeño como un atributo de calidad de la arquitectura, relacionado con el tiempo que tarda el sistema en responder a un evento. Smith y Williams (2002) lo plantean como el cumplimiento de objetivos de tiempo de respuesta y de capacidad de procesamiento. Jain (1991) propone medirlo con el tiempo de respuesta, la capacidad de procesamiento y la utilización de recursos. La investigación mide dos de los tres componentes de la norma, el comportamiento temporal y la capacidad. La utilización de recursos queda fuera porque depende de la infraestructura contratada.</w:t>
            </w:r>
          </w:p>
          <w:p w:rsidR="00000000" w:rsidDel="00000000" w:rsidP="00000000" w:rsidRDefault="00000000" w:rsidRPr="00000000" w14:paraId="00000079">
            <w:pPr>
              <w:spacing w:after="40" w:before="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 4. Seguridad</w:t>
            </w:r>
            <w:r w:rsidDel="00000000" w:rsidR="00000000" w:rsidRPr="00000000">
              <w:rPr>
                <w:rtl w:val="0"/>
              </w:rPr>
            </w:r>
          </w:p>
          <w:p w:rsidR="00000000" w:rsidDel="00000000" w:rsidP="00000000" w:rsidRDefault="00000000" w:rsidRPr="00000000" w14:paraId="0000007A">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norma ISO/IEC 25010 (2011) la define como la protección de la información y los datos para que cada persona o sistema acceda solo a lo que le corresponde, con la confidencialidad, la integridad, el no repudio, la responsabilidad y la autenticidad como componentes. Stallings y Brown (2018) formulan la seguridad informática en torno a la confidencialidad, la integridad y la disponibilidad, y destacan el control de acceso y la auditoría. Anderson (2020) la aborda en sistemas distribuidos e incluye el control de acceso como uno de sus temas. Bezemer et al. (2010) la llevan a los sistemas de múltiples inquilinos, donde el aislamiento de los datos de cada cliente es el requisito central. Se miden tres componentes de la norma: la confidencialidad, la autenticidad y la responsabilidad.</w:t>
            </w:r>
          </w:p>
          <w:p w:rsidR="00000000" w:rsidDel="00000000" w:rsidP="00000000" w:rsidRDefault="00000000" w:rsidRPr="00000000" w14:paraId="0000007E">
            <w:pPr>
              <w:spacing w:after="40" w:before="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 5. Fiabilidad</w:t>
            </w:r>
            <w:r w:rsidDel="00000000" w:rsidR="00000000" w:rsidRPr="00000000">
              <w:rPr>
                <w:rtl w:val="0"/>
              </w:rPr>
            </w:r>
          </w:p>
          <w:p w:rsidR="00000000" w:rsidDel="00000000" w:rsidP="00000000" w:rsidRDefault="00000000" w:rsidRPr="00000000" w14:paraId="0000007F">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norma ISO/IEC 25010 (2011) la define como la capacidad del producto de cumplir sus funciones bajo condiciones y durante un período definidos, e incluye madurez, disponibilidad, tolerancia a fallos y capacidad de recuperación. Silberschatz et al. (2010) explican que las transacciones deben cumplir las propiedades de atomicidad, consistencia, aislamiento y durabilidad, lo que importa cuando varios estudiantes ofertan al mismo tiempo y hay que retener y devolver saldos. Gray y Reuter (1993) sostienen que el procesamiento transaccional debe conservar la consistencia de los datos incluso ante concurrencia y fallos. Kleppmann (2017) trata la fiabilidad, junto con la escalabilidad y la mantenibilidad, como propiedad de los sistemas que manejan datos. Se miden la madurez, la tolerancia a fallos y la disponibilidad.</w:t>
            </w:r>
          </w:p>
          <w:p w:rsidR="00000000" w:rsidDel="00000000" w:rsidP="00000000" w:rsidRDefault="00000000" w:rsidRPr="00000000" w14:paraId="00000083">
            <w:pPr>
              <w:spacing w:after="80" w:before="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6.2.2. Variable dependiente: usabilidad y aceptación tecnológica</w:t>
            </w:r>
            <w:r w:rsidDel="00000000" w:rsidR="00000000" w:rsidRPr="00000000">
              <w:rPr>
                <w:rtl w:val="0"/>
              </w:rPr>
            </w:r>
          </w:p>
          <w:p w:rsidR="00000000" w:rsidDel="00000000" w:rsidP="00000000" w:rsidRDefault="00000000" w:rsidRPr="00000000" w14:paraId="00000084">
            <w:pPr>
              <w:spacing w:after="40" w:before="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Definición de la variable</w:t>
            </w:r>
            <w:r w:rsidDel="00000000" w:rsidR="00000000" w:rsidRPr="00000000">
              <w:rPr>
                <w:rFonts w:ascii="Times New Roman" w:cs="Times New Roman" w:eastAsia="Times New Roman" w:hAnsi="Times New Roman"/>
                <w:sz w:val="24"/>
                <w:szCs w:val="24"/>
                <w:rtl w:val="0"/>
              </w:rPr>
              <w:t xml:space="preserve">: La usabilidad y aceptación tecnológica se entiende como el grado en que los usuarios consideran que el sistema les resulta útil y fácil de usar, lo que condiciona que decidan adoptarlo. La definición se apoya en tres autores. Davis (1989) propone el Modelo de Aceptación Tecnológica (TAM), según el cual el uso de un sistema depende de la utilidad percibida y de la facilidad de uso percibida. Venkatesh et al. (2003) revisan ocho modelos de aceptación de tecnología y los integran en la teoría unificada UTAUT, que conserva la expectativa de desempeño y la expectativa de esfuerzo como determinantes de la intención de uso, equivalentes a esos dos constructos. Nielsen (1993) aporta la mirada de la ingeniería de la usabilidad, que la entiende como un conjunto de atributos del sistema que se pueden observar y medir, entre ellos la facilidad de aprendizaje, la eficiencia, la memorabilidad, la cantidad de errores y la satisfacción.</w:t>
            </w:r>
          </w:p>
          <w:p w:rsidR="00000000" w:rsidDel="00000000" w:rsidP="00000000" w:rsidRDefault="00000000" w:rsidRPr="00000000" w14:paraId="00000085">
            <w:pPr>
              <w:spacing w:after="40" w:before="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Dimensiones de la variable</w:t>
            </w:r>
            <w:r w:rsidDel="00000000" w:rsidR="00000000" w:rsidRPr="00000000">
              <w:rPr>
                <w:rFonts w:ascii="Times New Roman" w:cs="Times New Roman" w:eastAsia="Times New Roman" w:hAnsi="Times New Roman"/>
                <w:sz w:val="24"/>
                <w:szCs w:val="24"/>
                <w:rtl w:val="0"/>
              </w:rPr>
              <w:t xml:space="preserve">: Las dimensiones se toman de Davis (1989), quien distribuye la aceptación en dos: la utilidad percibida y la facilidad de uso percibida. La efectividad transaccional no es un constructo de ese modelo, sino una medida del funcionamiento del sistema, así que se mide dentro de la fiabilidad y la adecuación funcional de la variable independiente.</w:t>
            </w:r>
          </w:p>
          <w:p w:rsidR="00000000" w:rsidDel="00000000" w:rsidP="00000000" w:rsidRDefault="00000000" w:rsidRPr="00000000" w14:paraId="00000086">
            <w:pPr>
              <w:spacing w:after="40" w:before="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 1. Utilidad percibida</w:t>
            </w:r>
            <w:r w:rsidDel="00000000" w:rsidR="00000000" w:rsidRPr="00000000">
              <w:rPr>
                <w:rtl w:val="0"/>
              </w:rPr>
            </w:r>
          </w:p>
          <w:p w:rsidR="00000000" w:rsidDel="00000000" w:rsidP="00000000" w:rsidRDefault="00000000" w:rsidRPr="00000000" w14:paraId="00000087">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Davis (1989) la define como el grado en que una persona cree que usar un sistema mejorará su desempeño en el trabajo. Venkatesh y Davis (2000) la mantienen como el determinante más fuerte de la intención de uso y estudian qué factores la explican. Venkatesh et al. (2003) la recogen como expectativa de desempeño, la creencia de que el sistema ayudará a lograr ganancias en el desempeño. Granić y Marangunić (2019) revisaron de forma sistemática la literatura sobre el TAM en contextos educativos, donde esta dimensión sigue siendo uno de los constructos centrales.</w:t>
            </w:r>
          </w:p>
          <w:p w:rsidR="00000000" w:rsidDel="00000000" w:rsidP="00000000" w:rsidRDefault="00000000" w:rsidRPr="00000000" w14:paraId="0000008C">
            <w:pPr>
              <w:spacing w:after="40" w:before="8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 2. Facilidad de uso percibida</w:t>
            </w:r>
            <w:r w:rsidDel="00000000" w:rsidR="00000000" w:rsidRPr="00000000">
              <w:rPr>
                <w:rtl w:val="0"/>
              </w:rPr>
            </w:r>
          </w:p>
          <w:p w:rsidR="00000000" w:rsidDel="00000000" w:rsidP="00000000" w:rsidRDefault="00000000" w:rsidRPr="00000000" w14:paraId="0000008D">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Davis (1989) la define como el grado en que una persona cree que usar un sistema estará libre de esfuerzo. Venkatesh (2000) analiza qué determina esa percepción, entre ellos el control, la motivación intrínseca y la emoción. Venkatesh y Bala (2008) la incluyen en una extensión del modelo que reúne los determinantes de la utilidad y de la facilidad de uso percibidas. Nielsen (1993) la aborda con la facilidad de aprendizaje y la tasa de errores como atributos observables.</w:t>
            </w:r>
          </w:p>
          <w:p w:rsidR="00000000" w:rsidDel="00000000" w:rsidP="00000000" w:rsidRDefault="00000000" w:rsidRPr="00000000" w14:paraId="0000012F">
            <w:pPr>
              <w:keepNext w:val="1"/>
              <w:spacing w:after="200" w:line="360" w:lineRule="auto"/>
              <w:ind w:left="72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30">
      <w:pPr>
        <w:spacing w:line="360" w:lineRule="auto"/>
        <w:jc w:val="both"/>
        <w:rPr>
          <w:rFonts w:ascii="Times New Roman" w:cs="Times New Roman" w:eastAsia="Times New Roman" w:hAnsi="Times New Roman"/>
        </w:rPr>
      </w:pPr>
      <w:r w:rsidDel="00000000" w:rsidR="00000000" w:rsidRPr="00000000">
        <w:rPr>
          <w:rtl w:val="0"/>
        </w:rPr>
      </w:r>
    </w:p>
    <w:tbl>
      <w:tblPr>
        <w:tblStyle w:val="Table8"/>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131">
            <w:pPr>
              <w:numPr>
                <w:ilvl w:val="0"/>
                <w:numId w:val="6"/>
              </w:numPr>
              <w:pBdr>
                <w:top w:space="0" w:sz="0" w:val="nil"/>
                <w:left w:space="0" w:sz="0" w:val="nil"/>
                <w:bottom w:space="0" w:sz="0" w:val="nil"/>
                <w:right w:space="0" w:sz="0" w:val="nil"/>
                <w:between w:space="0" w:sz="0" w:val="nil"/>
              </w:pBdr>
              <w:spacing w:line="360" w:lineRule="auto"/>
              <w:ind w:left="36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IDENTIFICACIÓN DE LAS VARIABLES</w:t>
            </w:r>
            <w:r w:rsidDel="00000000" w:rsidR="00000000" w:rsidRPr="00000000">
              <w:rPr>
                <w:rtl w:val="0"/>
              </w:rPr>
            </w:r>
          </w:p>
          <w:p w:rsidR="00000000" w:rsidDel="00000000" w:rsidP="00000000" w:rsidRDefault="00000000" w:rsidRPr="00000000" w14:paraId="00000132">
            <w:pPr>
              <w:numPr>
                <w:ilvl w:val="0"/>
                <w:numId w:val="7"/>
              </w:numPr>
              <w:pBdr>
                <w:top w:space="0" w:sz="0" w:val="nil"/>
                <w:left w:space="0" w:sz="0" w:val="nil"/>
                <w:bottom w:space="0" w:sz="0" w:val="nil"/>
                <w:right w:space="0" w:sz="0" w:val="nil"/>
                <w:between w:space="0" w:sz="0" w:val="nil"/>
              </w:pBdr>
              <w:spacing w:before="20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 Independiente:Plataforma Web Educativa Gamificada</w:t>
            </w:r>
            <w:r w:rsidDel="00000000" w:rsidR="00000000" w:rsidRPr="00000000">
              <w:rPr>
                <w:rtl w:val="0"/>
              </w:rPr>
            </w:r>
          </w:p>
          <w:p w:rsidR="00000000" w:rsidDel="00000000" w:rsidP="00000000" w:rsidRDefault="00000000" w:rsidRPr="00000000" w14:paraId="00000133">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Definición Nominal:</w:t>
            </w:r>
            <w:r w:rsidDel="00000000" w:rsidR="00000000" w:rsidRPr="00000000">
              <w:rPr>
                <w:rFonts w:ascii="Times New Roman" w:cs="Times New Roman" w:eastAsia="Times New Roman" w:hAnsi="Times New Roman"/>
                <w:sz w:val="24"/>
                <w:szCs w:val="24"/>
                <w:rtl w:val="0"/>
              </w:rPr>
              <w:t xml:space="preserve"> Sistema de información web transaccional y gamificado.</w:t>
            </w:r>
          </w:p>
          <w:p w:rsidR="00000000" w:rsidDel="00000000" w:rsidP="00000000" w:rsidRDefault="00000000" w:rsidRPr="00000000" w14:paraId="00000134">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Definición Conceptual:</w:t>
            </w:r>
            <w:r w:rsidDel="00000000" w:rsidR="00000000" w:rsidRPr="00000000">
              <w:rPr>
                <w:rFonts w:ascii="Times New Roman" w:cs="Times New Roman" w:eastAsia="Times New Roman" w:hAnsi="Times New Roman"/>
                <w:sz w:val="24"/>
                <w:szCs w:val="24"/>
                <w:rtl w:val="0"/>
              </w:rPr>
              <w:t xml:space="preserve"> Sistema de software al que se accede desde el navegador, con arquitectura modular y base de datos relacional (Sommerville, 2011), que incorpora elementos de diseño de juegos en un contexto educativo (Deterding et al., 2011), organizados en dinámicas, mecánicas y componentes (Werbach y Hunter, 2012). Automatiza la asignación de recompensas digitales y procesa ofertas en tiempo real, con asistencia de inteligencia artificial para la gestión operativa.</w:t>
            </w:r>
          </w:p>
          <w:p w:rsidR="00000000" w:rsidDel="00000000" w:rsidP="00000000" w:rsidRDefault="00000000" w:rsidRPr="00000000" w14:paraId="00000135">
            <w:pPr>
              <w:spacing w:after="12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Definición Operacional:</w:t>
            </w:r>
            <w:r w:rsidDel="00000000" w:rsidR="00000000" w:rsidRPr="00000000">
              <w:rPr>
                <w:rFonts w:ascii="Times New Roman" w:cs="Times New Roman" w:eastAsia="Times New Roman" w:hAnsi="Times New Roman"/>
                <w:sz w:val="24"/>
                <w:szCs w:val="24"/>
                <w:rtl w:val="0"/>
              </w:rPr>
              <w:t xml:space="preserve"> La variable se mide en cinco dimensiones. La primera es la gamificación, que se mide por las dinámicas, las mecánicas y los componentes de juego que el sistema incorpora y que funcionan correctamente (Werbach y Hunter, 2012). Las otras cuatro son características de calidad de la norma ISO/IEC 25010 (2011): adecuación funcional, eficiencia de desempeño, seguridad y fiabilidad. Estas se miden durante las pruebas técnicas en el entorno controlado, con porcentajes de requisitos implementados y de pruebas aprobadas, tiempos de respuesta en milisegundos, pruebas de acceso entre instituciones y conteo de inconsistencias de saldo. Las dimensiones, subdimensiones, indicadores y autores se detallan en el cuadro de operacionalización de la sección 7.3.</w:t>
            </w:r>
            <w:r w:rsidDel="00000000" w:rsidR="00000000" w:rsidRPr="00000000">
              <w:rPr>
                <w:rtl w:val="0"/>
              </w:rPr>
            </w:r>
          </w:p>
          <w:p w:rsidR="00000000" w:rsidDel="00000000" w:rsidP="00000000" w:rsidRDefault="00000000" w:rsidRPr="00000000" w14:paraId="00000136">
            <w:pPr>
              <w:numPr>
                <w:ilvl w:val="0"/>
                <w:numId w:val="7"/>
              </w:numPr>
              <w:pBdr>
                <w:top w:space="0" w:sz="0" w:val="nil"/>
                <w:left w:space="0" w:sz="0" w:val="nil"/>
                <w:bottom w:space="0" w:sz="0" w:val="nil"/>
                <w:right w:space="0" w:sz="0" w:val="nil"/>
                <w:between w:space="0" w:sz="0" w:val="nil"/>
              </w:pBdr>
              <w:spacing w:before="20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 Dependiente: Usabilidad y Aceptación Tecnológica</w:t>
            </w:r>
          </w:p>
          <w:p w:rsidR="00000000" w:rsidDel="00000000" w:rsidP="00000000" w:rsidRDefault="00000000" w:rsidRPr="00000000" w14:paraId="00000137">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Definición Nominal:</w:t>
            </w:r>
            <w:r w:rsidDel="00000000" w:rsidR="00000000" w:rsidRPr="00000000">
              <w:rPr>
                <w:rFonts w:ascii="Times New Roman" w:cs="Times New Roman" w:eastAsia="Times New Roman" w:hAnsi="Times New Roman"/>
                <w:sz w:val="24"/>
                <w:szCs w:val="24"/>
                <w:rtl w:val="0"/>
              </w:rPr>
              <w:t xml:space="preserve"> Aceptación tecnológica del usuario.</w:t>
            </w:r>
          </w:p>
          <w:p w:rsidR="00000000" w:rsidDel="00000000" w:rsidP="00000000" w:rsidRDefault="00000000" w:rsidRPr="00000000" w14:paraId="00000138">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Definición Conceptual:</w:t>
            </w:r>
            <w:r w:rsidDel="00000000" w:rsidR="00000000" w:rsidRPr="00000000">
              <w:rPr>
                <w:rFonts w:ascii="Times New Roman" w:cs="Times New Roman" w:eastAsia="Times New Roman" w:hAnsi="Times New Roman"/>
                <w:sz w:val="24"/>
                <w:szCs w:val="24"/>
                <w:rtl w:val="0"/>
              </w:rPr>
              <w:t xml:space="preserve"> Con base en el Modelo de Aceptación Tecnológica de Davis (1989), es el grado en que los usuarios finales perciben que el sistema mejora su desempeño, que es la utilidad percibida, y que usarlo está libre de esfuerzo, que es la facilidad de uso percibida. Nielsen (1993) completa la definición con la usabilidad entendida como un conjunto de atributos observables, entre ellos la facilidad de aprendizaje y la cantidad de errores.</w:t>
            </w:r>
          </w:p>
          <w:p w:rsidR="00000000" w:rsidDel="00000000" w:rsidP="00000000" w:rsidRDefault="00000000" w:rsidRPr="00000000" w14:paraId="00000139">
            <w:pPr>
              <w:spacing w:after="12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Definición Operacional:</w:t>
            </w:r>
            <w:r w:rsidDel="00000000" w:rsidR="00000000" w:rsidRPr="00000000">
              <w:rPr>
                <w:rFonts w:ascii="Times New Roman" w:cs="Times New Roman" w:eastAsia="Times New Roman" w:hAnsi="Times New Roman"/>
                <w:sz w:val="24"/>
                <w:szCs w:val="24"/>
                <w:rtl w:val="0"/>
              </w:rPr>
              <w:t xml:space="preserve"> La variable se evalúa durante la validación con usuarios en el entorno de laboratorio controlado, mediante dos dimensiones: la utilidad percibida y la facilidad de uso percibida. Ambas se miden con los seis ítems de cada escala de Davis (1989), agrupados en indicadores y valorados en una escala Likert de 1 a 5. A ellas se suma la tasa de errores de navegación por sesión, que se registra por observación (Nielsen, 1993). El detalle está en el cuadro de operacionalización de la sección 7.3.</w:t>
            </w:r>
            <w:r w:rsidDel="00000000" w:rsidR="00000000" w:rsidRPr="00000000">
              <w:rPr>
                <w:rtl w:val="0"/>
              </w:rPr>
            </w:r>
          </w:p>
          <w:p w:rsidR="00000000" w:rsidDel="00000000" w:rsidP="00000000" w:rsidRDefault="00000000" w:rsidRPr="00000000" w14:paraId="0000013A">
            <w:pPr>
              <w:numPr>
                <w:ilvl w:val="0"/>
                <w:numId w:val="7"/>
              </w:numPr>
              <w:pBdr>
                <w:top w:space="0" w:sz="0" w:val="nil"/>
                <w:left w:space="0" w:sz="0" w:val="nil"/>
                <w:bottom w:space="0" w:sz="0" w:val="nil"/>
                <w:right w:space="0" w:sz="0" w:val="nil"/>
                <w:between w:space="0" w:sz="0" w:val="nil"/>
              </w:pBdr>
              <w:spacing w:before="20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CUADRO DE OPERACIONALIZACIÓN DE VARIABLES</w:t>
            </w:r>
            <w:r w:rsidDel="00000000" w:rsidR="00000000" w:rsidRPr="00000000">
              <w:rPr>
                <w:rtl w:val="0"/>
              </w:rPr>
            </w:r>
          </w:p>
          <w:p w:rsidR="00000000" w:rsidDel="00000000" w:rsidP="00000000" w:rsidRDefault="00000000" w:rsidRPr="00000000" w14:paraId="0000013B">
            <w:pPr>
              <w:spacing w:after="12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cuadro se construye con lo establecido en la fundamentación teórica. Cada objetivo específico se relaciona con las dimensiones y los indicadores que se miden para cumplirlo, y cada indicador lleva los tres autores que lo respaldan, el primero de los cuales es quien lo propone. Vi indica variable independiente y Vd variable dependiente. Los indicadores de los objetivos 2 y 3 se miden en la fase de validación, una vez construido el sistema: la seguridad del modelo diseñado se comprueba con las pruebas de acceso entre instituciones y la facilidad de uso de las interfaces diseñadas, con el cuestionario de aceptación y la observación de las sesiones de uso.</w:t>
            </w:r>
            <w:r w:rsidDel="00000000" w:rsidR="00000000" w:rsidRPr="00000000">
              <w:rPr>
                <w:rtl w:val="0"/>
              </w:rPr>
            </w:r>
          </w:p>
          <w:sdt>
            <w:sdtPr>
              <w:lock w:val="contentLocked"/>
              <w:id w:val="1213709634"/>
              <w:tag w:val="goog_rdk_7"/>
            </w:sdtPr>
            <w:sdtContent>
              <w:tbl>
                <w:tblPr>
                  <w:tblStyle w:val="Table9"/>
                  <w:tblW w:w="868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7.2"/>
                  <w:gridCol w:w="1737.2"/>
                  <w:gridCol w:w="1737.2"/>
                  <w:gridCol w:w="1737.2"/>
                  <w:gridCol w:w="1737.2"/>
                  <w:tblGridChange w:id="0">
                    <w:tblGrid>
                      <w:gridCol w:w="1737.2"/>
                      <w:gridCol w:w="1737.2"/>
                      <w:gridCol w:w="1737.2"/>
                      <w:gridCol w:w="1737.2"/>
                      <w:gridCol w:w="1737.2"/>
                    </w:tblGrid>
                  </w:tblGridChange>
                </w:tblGrid>
                <w:tr>
                  <w:trPr>
                    <w:cantSplit w:val="0"/>
                    <w:tblHeader w:val="0"/>
                  </w:trPr>
                  <w:tc>
                    <w:tcPr>
                      <w:gridSpan w:val="5"/>
                      <w:shd w:fill="f2f2f2" w:val="clear"/>
                    </w:tcPr>
                    <w:p w:rsidR="00000000" w:rsidDel="00000000" w:rsidP="00000000" w:rsidRDefault="00000000" w:rsidRPr="00000000" w14:paraId="000001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Título:</w:t>
                      </w:r>
                      <w:r w:rsidDel="00000000" w:rsidR="00000000" w:rsidRPr="00000000">
                        <w:rPr>
                          <w:rFonts w:ascii="Times New Roman" w:cs="Times New Roman" w:eastAsia="Times New Roman" w:hAnsi="Times New Roman"/>
                          <w:sz w:val="19"/>
                          <w:szCs w:val="19"/>
                          <w:rtl w:val="0"/>
                        </w:rPr>
                        <w:t xml:space="preserve"> Desarrollo de una plataforma web educativa gamificada con asistencia de inteligencia artificial</w:t>
                      </w:r>
                      <w:r w:rsidDel="00000000" w:rsidR="00000000" w:rsidRPr="00000000">
                        <w:rPr>
                          <w:rtl w:val="0"/>
                        </w:rPr>
                      </w:r>
                    </w:p>
                  </w:tc>
                </w:tr>
                <w:tr>
                  <w:trPr>
                    <w:cantSplit w:val="0"/>
                    <w:tblHeader w:val="0"/>
                  </w:trPr>
                  <w:tc>
                    <w:tcPr>
                      <w:gridSpan w:val="5"/>
                    </w:tcPr>
                    <w:p w:rsidR="00000000" w:rsidDel="00000000" w:rsidP="00000000" w:rsidRDefault="00000000" w:rsidRPr="00000000" w14:paraId="000001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Variables:</w:t>
                      </w:r>
                      <w:r w:rsidDel="00000000" w:rsidR="00000000" w:rsidRPr="00000000">
                        <w:rPr>
                          <w:rFonts w:ascii="Times New Roman" w:cs="Times New Roman" w:eastAsia="Times New Roman" w:hAnsi="Times New Roman"/>
                          <w:sz w:val="19"/>
                          <w:szCs w:val="19"/>
                          <w:rtl w:val="0"/>
                        </w:rPr>
                        <w:t xml:space="preserve"> Plataforma web educativa gamificada (Vi); Usabilidad y aceptación tecnológica (Vd)</w:t>
                      </w:r>
                      <w:r w:rsidDel="00000000" w:rsidR="00000000" w:rsidRPr="00000000">
                        <w:rPr>
                          <w:rtl w:val="0"/>
                        </w:rPr>
                      </w:r>
                    </w:p>
                  </w:tc>
                </w:tr>
                <w:tr>
                  <w:trPr>
                    <w:cantSplit w:val="0"/>
                    <w:tblHeader w:val="0"/>
                  </w:trPr>
                  <w:tc>
                    <w:tcPr>
                      <w:gridSpan w:val="5"/>
                    </w:tcPr>
                    <w:p w:rsidR="00000000" w:rsidDel="00000000" w:rsidP="00000000" w:rsidRDefault="00000000" w:rsidRPr="00000000" w14:paraId="000001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9"/>
                          <w:szCs w:val="19"/>
                          <w:rtl w:val="0"/>
                        </w:rPr>
                        <w:t xml:space="preserve">Objetivo general:</w:t>
                      </w:r>
                      <w:r w:rsidDel="00000000" w:rsidR="00000000" w:rsidRPr="00000000">
                        <w:rPr>
                          <w:rFonts w:ascii="Times New Roman" w:cs="Times New Roman" w:eastAsia="Times New Roman" w:hAnsi="Times New Roman"/>
                          <w:sz w:val="19"/>
                          <w:szCs w:val="19"/>
                          <w:rtl w:val="0"/>
                        </w:rPr>
                        <w:t xml:space="preserve"> Desarrollar una plataforma web educativa gamificada, con arquitectura modular y asistencia de inteligencia artificial, para la gestión de recompensas académicas y su canje mediante subastas.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Objetivos específicos</w:t>
                      </w:r>
                      <w:r w:rsidDel="00000000" w:rsidR="00000000" w:rsidRPr="00000000">
                        <w:rPr>
                          <w:rtl w:val="0"/>
                        </w:rPr>
                      </w:r>
                    </w:p>
                  </w:tc>
                  <w:tc>
                    <w:tcPr>
                      <w:shd w:fill="d9d9d9" w:val="clear"/>
                    </w:tcPr>
                    <w:p w:rsidR="00000000" w:rsidDel="00000000" w:rsidP="00000000" w:rsidRDefault="00000000" w:rsidRPr="00000000" w14:paraId="000001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Dimensiones</w:t>
                      </w:r>
                      <w:r w:rsidDel="00000000" w:rsidR="00000000" w:rsidRPr="00000000">
                        <w:rPr>
                          <w:rtl w:val="0"/>
                        </w:rPr>
                      </w:r>
                    </w:p>
                  </w:tc>
                  <w:tc>
                    <w:tcPr>
                      <w:shd w:fill="d9d9d9" w:val="clear"/>
                    </w:tcPr>
                    <w:p w:rsidR="00000000" w:rsidDel="00000000" w:rsidP="00000000" w:rsidRDefault="00000000" w:rsidRPr="00000000" w14:paraId="000001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Subdimensiones</w:t>
                      </w:r>
                      <w:r w:rsidDel="00000000" w:rsidR="00000000" w:rsidRPr="00000000">
                        <w:rPr>
                          <w:rtl w:val="0"/>
                        </w:rPr>
                      </w:r>
                    </w:p>
                  </w:tc>
                  <w:tc>
                    <w:tcPr>
                      <w:shd w:fill="d9d9d9" w:val="clear"/>
                    </w:tcPr>
                    <w:p w:rsidR="00000000" w:rsidDel="00000000" w:rsidP="00000000" w:rsidRDefault="00000000" w:rsidRPr="00000000" w14:paraId="000001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Indicadores</w:t>
                      </w:r>
                      <w:r w:rsidDel="00000000" w:rsidR="00000000" w:rsidRPr="00000000">
                        <w:rPr>
                          <w:rtl w:val="0"/>
                        </w:rPr>
                      </w:r>
                    </w:p>
                  </w:tc>
                  <w:tc>
                    <w:tcPr>
                      <w:shd w:fill="d9d9d9" w:val="clear"/>
                    </w:tcPr>
                    <w:p w:rsidR="00000000" w:rsidDel="00000000" w:rsidP="00000000" w:rsidRDefault="00000000" w:rsidRPr="00000000" w14:paraId="000001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Autores</w:t>
                      </w:r>
                      <w:r w:rsidDel="00000000" w:rsidR="00000000" w:rsidRPr="00000000">
                        <w:rPr>
                          <w:rtl w:val="0"/>
                        </w:rPr>
                      </w:r>
                    </w:p>
                  </w:tc>
                </w:tr>
                <w:tr>
                  <w:trPr>
                    <w:cantSplit w:val="0"/>
                    <w:tblHeader w:val="0"/>
                  </w:trPr>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 Analizar los requerimientos funcionales y no funcionales del sistema mediante el estudio de las dinámicas de evaluación e incentivos escolares, para definir el modelo de datos, la arquitectura lógica y los flujos transaccionales de la plataforma.</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Gamificación (Vi)</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Dinámicas</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dinámicas de incentivos identificadas en el análisis que quedan definidas en los requisitos</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Werbach y Hunter (2012); Deterding et al. (2011); Kapp (2012)</w:t>
                      </w:r>
                      <w:r w:rsidDel="00000000" w:rsidR="00000000" w:rsidRPr="00000000">
                        <w:rPr>
                          <w:rtl w:val="0"/>
                        </w:rPr>
                      </w:r>
                    </w:p>
                  </w:tc>
                </w:tr>
                <w:tr>
                  <w:trPr>
                    <w:cantSplit w:val="0"/>
                    <w:tblHeader w:val="0"/>
                  </w:trPr>
                  <w:tc>
                    <w:tcPr>
                      <w:vMerge w:val="restart"/>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 Modelar la arquitectura modular del software y su modelo de datos relacional, de manera que se garantice el aislamiento lógico de la información entre instituciones.</w:t>
                      </w:r>
                      <w:r w:rsidDel="00000000" w:rsidR="00000000" w:rsidRPr="00000000">
                        <w:rPr>
                          <w:rtl w:val="0"/>
                        </w:rPr>
                      </w:r>
                    </w:p>
                  </w:tc>
                  <w:tc>
                    <w:tcPr>
                      <w:vMerge w:val="restart"/>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Seguridad (Vi)</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Confidencialidad</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Pruebas de acceso entre instituciones sin fuga de información sobre el total de pruebas (%)</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 Stallings y Brown (2018); Bezemer et al. (2010)</w:t>
                      </w:r>
                      <w:r w:rsidDel="00000000" w:rsidR="00000000" w:rsidRPr="00000000">
                        <w:rPr>
                          <w:rtl w:val="0"/>
                        </w:rPr>
                      </w:r>
                    </w:p>
                  </w:tc>
                </w:tr>
                <w:tr>
                  <w:trPr>
                    <w:cantSplit w:val="0"/>
                    <w:tblHeader w:val="0"/>
                  </w:trPr>
                  <w:tc>
                    <w:tcPr>
                      <w:vMerge/>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vMerge/>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Autenticidad y control de acceso</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operaciones protegidas con autenticación y control por rol</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 Anderson (2020); Stallings y Brown (2018)</w:t>
                      </w:r>
                      <w:r w:rsidDel="00000000" w:rsidR="00000000" w:rsidRPr="00000000">
                        <w:rPr>
                          <w:rtl w:val="0"/>
                        </w:rPr>
                      </w:r>
                    </w:p>
                  </w:tc>
                </w:tr>
                <w:tr>
                  <w:trPr>
                    <w:cantSplit w:val="0"/>
                    <w:tblHeader w:val="0"/>
                  </w:trPr>
                  <w:tc>
                    <w:tcPr>
                      <w:vMerge/>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vMerge/>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Responsabilidad</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operaciones sensibles registradas en el historial</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 Stallings y Brown (2018); Anderson (2020)</w:t>
                      </w:r>
                      <w:r w:rsidDel="00000000" w:rsidR="00000000" w:rsidRPr="00000000">
                        <w:rPr>
                          <w:rtl w:val="0"/>
                        </w:rPr>
                      </w:r>
                    </w:p>
                  </w:tc>
                </w:tr>
                <w:tr>
                  <w:trPr>
                    <w:cantSplit w:val="0"/>
                    <w:tblHeader w:val="0"/>
                  </w:trPr>
                  <w:tc>
                    <w:tcPr>
                      <w:vMerge w:val="restart"/>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 Diseñar las interfaces de usuario de la plataforma para los roles de estudiante, docente y directivo docente, adaptables a distintos dispositivos.</w:t>
                      </w:r>
                      <w:r w:rsidDel="00000000" w:rsidR="00000000" w:rsidRPr="00000000">
                        <w:rPr>
                          <w:rtl w:val="0"/>
                        </w:rPr>
                      </w:r>
                    </w:p>
                  </w:tc>
                  <w:tc>
                    <w:tcPr>
                      <w:vMerge w:val="restart"/>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Facilidad de uso percibida (Vd)</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Facilidad de aprendizaje</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Puntuación en escala Likert de 1 a 5</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Davis (1989); Venkatesh (2000); Venkatesh y Bala (2008)</w:t>
                      </w:r>
                      <w:r w:rsidDel="00000000" w:rsidR="00000000" w:rsidRPr="00000000">
                        <w:rPr>
                          <w:rtl w:val="0"/>
                        </w:rPr>
                      </w:r>
                    </w:p>
                  </w:tc>
                </w:tr>
                <w:tr>
                  <w:trPr>
                    <w:cantSplit w:val="0"/>
                    <w:tblHeader w:val="0"/>
                  </w:trPr>
                  <w:tc>
                    <w:tcPr>
                      <w:vMerge/>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vMerge/>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Control y claridad de la interacción</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Puntuación en escala Likert de 1 a 5</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Davis (1989); Venkatesh (2000); Venkatesh y Bala (2008)</w:t>
                      </w:r>
                      <w:r w:rsidDel="00000000" w:rsidR="00000000" w:rsidRPr="00000000">
                        <w:rPr>
                          <w:rtl w:val="0"/>
                        </w:rPr>
                      </w:r>
                    </w:p>
                  </w:tc>
                </w:tr>
                <w:tr>
                  <w:trPr>
                    <w:cantSplit w:val="0"/>
                    <w:tblHeader w:val="0"/>
                  </w:trPr>
                  <w:tc>
                    <w:tcPr>
                      <w:vMerge/>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vMerge/>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Flexibilidad, habilidad y facilidad de uso general</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Puntuación en escala Likert de 1 a 5</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Davis (1989); Venkatesh (2000); Venkatesh y Bala (2008)</w:t>
                      </w:r>
                      <w:r w:rsidDel="00000000" w:rsidR="00000000" w:rsidRPr="00000000">
                        <w:rPr>
                          <w:rtl w:val="0"/>
                        </w:rPr>
                      </w:r>
                    </w:p>
                  </w:tc>
                </w:tr>
                <w:tr>
                  <w:trPr>
                    <w:cantSplit w:val="0"/>
                    <w:tblHeader w:val="0"/>
                  </w:trPr>
                  <w:tc>
                    <w:tcPr>
                      <w:vMerge/>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vMerge/>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Tasa de errores de navegación</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Errores de navegación por sesión (número)</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Nielsen (1993); ISO/IEC 25010 (2011); Norman (2013)</w:t>
                      </w:r>
                      <w:r w:rsidDel="00000000" w:rsidR="00000000" w:rsidRPr="00000000">
                        <w:rPr>
                          <w:rtl w:val="0"/>
                        </w:rPr>
                      </w:r>
                    </w:p>
                  </w:tc>
                </w:tr>
                <w:tr>
                  <w:trPr>
                    <w:cantSplit w:val="0"/>
                    <w:tblHeader w:val="0"/>
                  </w:trPr>
                  <w:tc>
                    <w:tcPr>
                      <w:vMerge w:val="restart"/>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 Construir los módulos del sistema de información correspondientes a la gestión de aulas, grupos y actividades, la billetera digital transaccional, las subastas en tiempo real, los reportes institucionales y el asistente de inteligencia artificial, con verificación de permisos y confirmación en las operaciones sensibles.</w:t>
                      </w:r>
                      <w:r w:rsidDel="00000000" w:rsidR="00000000" w:rsidRPr="00000000">
                        <w:rPr>
                          <w:rtl w:val="0"/>
                        </w:rPr>
                      </w:r>
                    </w:p>
                  </w:tc>
                  <w:tc>
                    <w:tcPr>
                      <w:vMerge w:val="restart"/>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Gamificación (Vi)</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Mecánicas</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mecánicas definidas que funcionan en las pruebas</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Werbach y Hunter (2012); Zichermann y Cunningham (2011); Dicheva et al. (2022)</w:t>
                      </w:r>
                      <w:r w:rsidDel="00000000" w:rsidR="00000000" w:rsidRPr="00000000">
                        <w:rPr>
                          <w:rtl w:val="0"/>
                        </w:rPr>
                      </w:r>
                    </w:p>
                  </w:tc>
                </w:tr>
                <w:tr>
                  <w:trPr>
                    <w:cantSplit w:val="0"/>
                    <w:tblHeader w:val="0"/>
                  </w:trPr>
                  <w:tc>
                    <w:tcPr>
                      <w:vMerge/>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vMerge/>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Componentes</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componentes definidos en funcionamiento</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Werbach y Hunter (2012); Sailer et al. (2017); Dicheva et al. (2015)</w:t>
                      </w:r>
                      <w:r w:rsidDel="00000000" w:rsidR="00000000" w:rsidRPr="00000000">
                        <w:rPr>
                          <w:rtl w:val="0"/>
                        </w:rPr>
                      </w:r>
                    </w:p>
                  </w:tc>
                </w:tr>
                <w:tr>
                  <w:trPr>
                    <w:cantSplit w:val="0"/>
                    <w:tblHeader w:val="0"/>
                  </w:trPr>
                  <w:tc>
                    <w:tcPr>
                      <w:vMerge/>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vMerge w:val="restart"/>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Adecuación funcional (Vi)</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Completitud funcional</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requisitos funcionales implementados</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 Sommerville (2011); Pressman (2010)</w:t>
                      </w:r>
                      <w:r w:rsidDel="00000000" w:rsidR="00000000" w:rsidRPr="00000000">
                        <w:rPr>
                          <w:rtl w:val="0"/>
                        </w:rPr>
                      </w:r>
                    </w:p>
                  </w:tc>
                </w:tr>
                <w:tr>
                  <w:trPr>
                    <w:cantSplit w:val="0"/>
                    <w:tblHeader w:val="0"/>
                  </w:trPr>
                  <w:tc>
                    <w:tcPr>
                      <w:vMerge/>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vMerge/>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Pertinencia funcional</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solicitudes del asistente de IA ejecutadas correctamente dentro del alcance definido</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 Russell y Norvig (2010); Mittal et al. (2025)</w:t>
                      </w:r>
                      <w:r w:rsidDel="00000000" w:rsidR="00000000" w:rsidRPr="00000000">
                        <w:rPr>
                          <w:rtl w:val="0"/>
                        </w:rPr>
                      </w:r>
                    </w:p>
                  </w:tc>
                </w:tr>
                <w:tr>
                  <w:trPr>
                    <w:cantSplit w:val="0"/>
                    <w:tblHeader w:val="0"/>
                  </w:trPr>
                  <w:tc>
                    <w:tcPr>
                      <w:vMerge w:val="restart"/>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5. Validar la calidad técnica del software y su aceptación por los usuarios en un entorno de pruebas controlado, mediante pruebas funcionales, de integración, de desempeño y de seguridad y la aplicación del Modelo de Aceptación Tecnológica.</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Adecuación funcional (Vi)</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Corrección funcional</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casos de prueba funcionales aprobados</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 Myers et al. (2011); Pressman (2010)</w:t>
                      </w:r>
                      <w:r w:rsidDel="00000000" w:rsidR="00000000" w:rsidRPr="00000000">
                        <w:rPr>
                          <w:rtl w:val="0"/>
                        </w:rPr>
                      </w:r>
                    </w:p>
                  </w:tc>
                </w:tr>
                <w:tr>
                  <w:trPr>
                    <w:cantSplit w:val="0"/>
                    <w:tblHeader w:val="0"/>
                  </w:trPr>
                  <w:tc>
                    <w:tcPr>
                      <w:vMerge/>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vMerge w:val="restart"/>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Eficiencia de desempeño (Vi)</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Comportamiento temporal</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Tiempo de respuesta del servidor y latencia de actualización de una subasta (ms)</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 Smith y Williams (2002); Jain (1991)</w:t>
                      </w:r>
                      <w:r w:rsidDel="00000000" w:rsidR="00000000" w:rsidRPr="00000000">
                        <w:rPr>
                          <w:rtl w:val="0"/>
                        </w:rPr>
                      </w:r>
                    </w:p>
                  </w:tc>
                </w:tr>
                <w:tr>
                  <w:trPr>
                    <w:cantSplit w:val="0"/>
                    <w:tblHeader w:val="0"/>
                  </w:trPr>
                  <w:tc>
                    <w:tcPr>
                      <w:vMerge/>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vMerge/>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Capacidad</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Usuarios simultáneos atendidos sin errores (número)</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 Jain (1991); Bass et al. (2012)</w:t>
                      </w:r>
                      <w:r w:rsidDel="00000000" w:rsidR="00000000" w:rsidRPr="00000000">
                        <w:rPr>
                          <w:rtl w:val="0"/>
                        </w:rPr>
                      </w:r>
                    </w:p>
                  </w:tc>
                </w:tr>
                <w:tr>
                  <w:trPr>
                    <w:cantSplit w:val="0"/>
                    <w:tblHeader w:val="0"/>
                  </w:trPr>
                  <w:tc>
                    <w:tcPr>
                      <w:vMerge/>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vMerge w:val="restart"/>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Fiabilidad (Vi)</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Madurez</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transacciones de subasta completadas con éxito</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 Gray y Reuter (1993); Haerder y Reuter (1983)</w:t>
                      </w:r>
                      <w:r w:rsidDel="00000000" w:rsidR="00000000" w:rsidRPr="00000000">
                        <w:rPr>
                          <w:rtl w:val="0"/>
                        </w:rPr>
                      </w:r>
                    </w:p>
                  </w:tc>
                </w:tr>
                <w:tr>
                  <w:trPr>
                    <w:cantSplit w:val="0"/>
                    <w:tblHeader w:val="0"/>
                  </w:trPr>
                  <w:tc>
                    <w:tcPr>
                      <w:vMerge/>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vMerge/>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Tolerancia a fallos y concurrencia</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Inconsistencias de saldo tras ofertas concurrentes (número)</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 Silberschatz et al. (2010); Kleppmann (2017)</w:t>
                      </w:r>
                      <w:r w:rsidDel="00000000" w:rsidR="00000000" w:rsidRPr="00000000">
                        <w:rPr>
                          <w:rtl w:val="0"/>
                        </w:rPr>
                      </w:r>
                    </w:p>
                  </w:tc>
                </w:tr>
                <w:tr>
                  <w:trPr>
                    <w:cantSplit w:val="0"/>
                    <w:tblHeader w:val="0"/>
                  </w:trPr>
                  <w:tc>
                    <w:tcPr>
                      <w:vMerge/>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vMerge/>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Disponibilidad</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tiempo disponible durante las pruebas</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ISO/IEC 25010 (2011); Bass et al. (2012); Kleppmann (2017)</w:t>
                      </w:r>
                      <w:r w:rsidDel="00000000" w:rsidR="00000000" w:rsidRPr="00000000">
                        <w:rPr>
                          <w:rtl w:val="0"/>
                        </w:rPr>
                      </w:r>
                    </w:p>
                  </w:tc>
                </w:tr>
                <w:tr>
                  <w:trPr>
                    <w:cantSplit w:val="0"/>
                    <w:tblHeader w:val="0"/>
                  </w:trPr>
                  <w:tc>
                    <w:tcPr>
                      <w:vMerge/>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vMerge w:val="restart"/>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Utilidad percibida (Vd)</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Rapidez y desempeño</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Puntuación en escala Likert de 1 a 5</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Davis (1989); Venkatesh y Davis (2000); Venkatesh et al. (2003)</w:t>
                      </w:r>
                      <w:r w:rsidDel="00000000" w:rsidR="00000000" w:rsidRPr="00000000">
                        <w:rPr>
                          <w:rtl w:val="0"/>
                        </w:rPr>
                      </w:r>
                    </w:p>
                  </w:tc>
                </w:tr>
                <w:tr>
                  <w:trPr>
                    <w:cantSplit w:val="0"/>
                    <w:tblHeader w:val="0"/>
                  </w:trPr>
                  <w:tc>
                    <w:tcPr>
                      <w:vMerge/>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vMerge/>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Productividad y efectividad</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Puntuación en escala Likert de 1 a 5</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Davis (1989); Venkatesh y Davis (2000); Venkatesh et al. (2003)</w:t>
                      </w:r>
                      <w:r w:rsidDel="00000000" w:rsidR="00000000" w:rsidRPr="00000000">
                        <w:rPr>
                          <w:rtl w:val="0"/>
                        </w:rPr>
                      </w:r>
                    </w:p>
                  </w:tc>
                </w:tr>
                <w:tr>
                  <w:trPr>
                    <w:cantSplit w:val="0"/>
                    <w:tblHeader w:val="0"/>
                  </w:trPr>
                  <w:tc>
                    <w:tcPr>
                      <w:vMerge/>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vMerge/>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Facilidad para hacer el trabajo y utilidad general</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Puntuación en escala Likert de 1 a 5</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Davis (1989); Venkatesh y Davis (2000); Venkatesh et al. (2003)</w:t>
                      </w:r>
                      <w:r w:rsidDel="00000000" w:rsidR="00000000" w:rsidRPr="00000000">
                        <w:rPr>
                          <w:rtl w:val="0"/>
                        </w:rPr>
                      </w:r>
                    </w:p>
                  </w:tc>
                </w:tr>
              </w:tbl>
            </w:sdtContent>
          </w:sdt>
          <w:p w:rsidR="00000000" w:rsidDel="00000000" w:rsidP="00000000" w:rsidRDefault="00000000" w:rsidRPr="00000000" w14:paraId="000001B9">
            <w:pPr>
              <w:pBdr>
                <w:top w:space="0" w:sz="0" w:val="nil"/>
                <w:left w:space="0" w:sz="0" w:val="nil"/>
                <w:bottom w:space="0" w:sz="0" w:val="nil"/>
                <w:right w:space="0" w:sz="0" w:val="nil"/>
                <w:between w:space="0" w:sz="0" w:val="nil"/>
              </w:pBdr>
              <w:spacing w:before="200"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BA">
      <w:pPr>
        <w:spacing w:line="360" w:lineRule="auto"/>
        <w:jc w:val="both"/>
        <w:rPr>
          <w:rFonts w:ascii="Times New Roman" w:cs="Times New Roman" w:eastAsia="Times New Roman" w:hAnsi="Times New Roman"/>
        </w:rPr>
      </w:pPr>
      <w:r w:rsidDel="00000000" w:rsidR="00000000" w:rsidRPr="00000000">
        <w:rPr>
          <w:rtl w:val="0"/>
        </w:rPr>
      </w:r>
    </w:p>
    <w:tbl>
      <w:tblPr>
        <w:tblStyle w:val="Table10"/>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1BB">
            <w:pPr>
              <w:keepNext w:val="1"/>
              <w:widowControl w:val="0"/>
              <w:numPr>
                <w:ilvl w:val="0"/>
                <w:numId w:val="6"/>
              </w:numPr>
              <w:pBdr>
                <w:top w:space="0" w:sz="0" w:val="nil"/>
                <w:left w:space="0" w:sz="0" w:val="nil"/>
                <w:bottom w:space="0" w:sz="0" w:val="nil"/>
                <w:right w:space="0" w:sz="0" w:val="nil"/>
                <w:between w:space="0" w:sz="0" w:val="nil"/>
              </w:pBdr>
              <w:spacing w:before="200" w:line="360" w:lineRule="auto"/>
              <w:ind w:left="360" w:hanging="360"/>
              <w:jc w:val="both"/>
              <w:rPr/>
            </w:pPr>
            <w:r w:rsidDel="00000000" w:rsidR="00000000" w:rsidRPr="00000000">
              <w:rPr>
                <w:rFonts w:ascii="Times New Roman" w:cs="Times New Roman" w:eastAsia="Times New Roman" w:hAnsi="Times New Roman"/>
                <w:b w:val="1"/>
                <w:bCs w:val="1"/>
                <w:sz w:val="24"/>
                <w:szCs w:val="24"/>
                <w:rtl w:val="0"/>
              </w:rPr>
              <w:t xml:space="preserve">METODOLOGÍA</w:t>
            </w:r>
            <w:r w:rsidDel="00000000" w:rsidR="00000000" w:rsidRPr="00000000">
              <w:rPr>
                <w:rtl w:val="0"/>
              </w:rPr>
            </w:r>
          </w:p>
          <w:p w:rsidR="00000000" w:rsidDel="00000000" w:rsidP="00000000" w:rsidRDefault="00000000" w:rsidRPr="00000000" w14:paraId="000001BC">
            <w:pPr>
              <w:spacing w:after="12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metodología de esta investigación se apoya en los principios de la ingeniería de software y de la investigación aplicada. Su propósito es que cada objetivo específico tenga un camino claro de ejecución y una forma de comprobar que se cumplió: se analizan los requerimientos, se diseña y se construye la plataforma y después se evalúa, con indicadores medibles, tanto su calidad técnica como la aceptación de quienes la usan.</w:t>
            </w:r>
          </w:p>
          <w:p w:rsidR="00000000" w:rsidDel="00000000" w:rsidP="00000000" w:rsidRDefault="00000000" w:rsidRPr="00000000" w14:paraId="000001BD">
            <w:pPr>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Este capítulo describe el enfoque, el tipo y el diseño de la investigación, el procedimiento por fases, las técnicas e instrumentos de recolección con su justificación, el tratamiento de los datos y la población y la muestra. Todo se relaciona con las variables y los indicadores del cuadro de operacionalización de la sección 7.3, de modo que cada dato que se recoja responde a un indicador definido de antemano.</w:t>
            </w:r>
            <w:r w:rsidDel="00000000" w:rsidR="00000000" w:rsidRPr="00000000">
              <w:rPr>
                <w:rtl w:val="0"/>
              </w:rPr>
            </w:r>
          </w:p>
          <w:p w:rsidR="00000000" w:rsidDel="00000000" w:rsidP="00000000" w:rsidRDefault="00000000" w:rsidRPr="00000000" w14:paraId="000001BE">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00" w:line="360" w:lineRule="auto"/>
              <w:ind w:left="1440" w:right="0" w:hanging="360"/>
              <w:jc w:val="both"/>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Enfoque Metodológico. </w:t>
            </w:r>
          </w:p>
          <w:p w:rsidR="00000000" w:rsidDel="00000000" w:rsidP="00000000" w:rsidRDefault="00000000" w:rsidRPr="00000000" w14:paraId="000001BF">
            <w:pPr>
              <w:spacing w:after="12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enfoque es mixto con predominio cuantitativo (Hernández et al., 2014). El componente cuantitativo es el núcleo, porque los indicadores principales son numéricos: porcentajes de requisitos implementados y de pruebas aprobadas, tiempos de respuesta y latencia en milisegundos, número de usuarios simultáneos atendidos, inconsistencias de saldo y puntuaciones en escala Likert del Modelo de Aceptación Tecnológica. Estas mediciones permiten comprobar si el sistema cumple los criterios de calidad fijados al inicio, sin depender de impresiones.</w:t>
            </w:r>
          </w:p>
          <w:p w:rsidR="00000000" w:rsidDel="00000000" w:rsidP="00000000" w:rsidRDefault="00000000" w:rsidRPr="00000000" w14:paraId="000001C0">
            <w:pPr>
              <w:spacing w:after="12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componente cualitativo cumple una función de apoyo y se concentra en dos momentos. En la fase inicial sirve para levantar los requerimientos mediante entrevistas y observación y convertirlos en historias de usuario. Al final sirve para recoger comentarios abiertos de los participantes sobre la interfaz y las dificultades que encontraron. Esos comentarios no sustituyen a los indicadores. Ayudan a interpretar por qué una puntuación fue alta o baja y a proponer mejoras.</w:t>
            </w:r>
            <w:r w:rsidDel="00000000" w:rsidR="00000000" w:rsidRPr="00000000">
              <w:rPr>
                <w:rtl w:val="0"/>
              </w:rPr>
            </w:r>
          </w:p>
          <w:p w:rsidR="00000000" w:rsidDel="00000000" w:rsidP="00000000" w:rsidRDefault="00000000" w:rsidRPr="00000000" w14:paraId="000001C1">
            <w:pPr>
              <w:keepNext w:val="1"/>
              <w:widowControl w:val="0"/>
              <w:numPr>
                <w:ilvl w:val="0"/>
                <w:numId w:val="5"/>
              </w:numPr>
              <w:spacing w:after="240" w:before="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investigación.</w:t>
            </w:r>
          </w:p>
          <w:p w:rsidR="00000000" w:rsidDel="00000000" w:rsidP="00000000" w:rsidRDefault="00000000" w:rsidRPr="00000000" w14:paraId="000001C2">
            <w:pPr>
              <w:spacing w:after="12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Es una investigación aplicada, porque busca resolver un problema práctico de gestión de recompensas y asistencia en entornos educativos mediante un producto de software, y no solo ampliar el conocimiento teórico. Por su propósito es proyectiva, en el sentido de Hurtado de Barrera (2010): elabora una propuesta, en este caso un sistema funcional, como solución a una necesidad, a partir de un proceso previo de indagación. Por su alcance, la parte evaluativa es descriptiva (Hernández et al., 2014), pues mide las variables y las describe tal como se presentan en las pruebas, sin establecer relaciones de causa y efecto entre ellas.</w:t>
            </w:r>
            <w:r w:rsidDel="00000000" w:rsidR="00000000" w:rsidRPr="00000000">
              <w:rPr>
                <w:rtl w:val="0"/>
              </w:rPr>
            </w:r>
          </w:p>
          <w:p w:rsidR="00000000" w:rsidDel="00000000" w:rsidP="00000000" w:rsidRDefault="00000000" w:rsidRPr="00000000" w14:paraId="000001C3">
            <w:pPr>
              <w:keepNext w:val="1"/>
              <w:widowControl w:val="0"/>
              <w:numPr>
                <w:ilvl w:val="0"/>
                <w:numId w:val="5"/>
              </w:numPr>
              <w:spacing w:after="240" w:before="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Diseño de la investigación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C4">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es la estrategia que se sigue para obtener la información y responder a la pregunta de investigación. Antes de elegirlo se revisaron las opciones que existen.</w:t>
            </w:r>
          </w:p>
          <w:p w:rsidR="00000000" w:rsidDel="00000000" w:rsidP="00000000" w:rsidRDefault="00000000" w:rsidRPr="00000000" w14:paraId="000001C5">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Hernández et al. (2014) clasifican los diseños cuantitativos en experimentales y no experimentales. Los experimentales manipulan de forma intencional una variable independiente para observar su efecto sobre otra, y según su grado de control se dividen en preexperimentos, cuasiexperimentos, que trabajan con grupos intactos sin asignación aleatoria, y experimentos puros, con grupos de comparación y asignación aleatoria. Los no experimentales observan los fenómenos sin manipularlos. Pueden ser transversales, cuando recogen los datos en un solo momento y son exploratorios, descriptivos o correlacionales-causales, o longitudinales, cuando siguen los cambios en el tiempo mediante diseños de tendencia, de evolución de grupo o de panel.</w:t>
            </w:r>
          </w:p>
          <w:p w:rsidR="00000000" w:rsidDel="00000000" w:rsidP="00000000" w:rsidRDefault="00000000" w:rsidRPr="00000000" w14:paraId="000001C6">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ingeniería de software se suman estrategias propias de la disciplina. Wohlin et al. (2012) presentan los experimentos y los estudios de caso como formas de investigación empírica en ingeniería de software. Por su parte, Hevner et al. (2004) distinguen dos paradigmas en la investigación en sistemas de información: la ciencia del comportamiento, que desarrolla y prueba teorías, y la ciencia del diseño, que crea artefactos nuevos y los evalúa. Peffers et al. (2007) convirtieron este segundo paradigma en una metodología de seis actividades: identificación del problema y motivación, definición de los objetivos de la solución, diseño y desarrollo, demostración, evaluación y comunicación.</w:t>
            </w:r>
          </w:p>
          <w:p w:rsidR="00000000" w:rsidDel="00000000" w:rsidP="00000000" w:rsidRDefault="00000000" w:rsidRPr="00000000" w14:paraId="000001C7">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selecciona un diseño de ciencia del diseño (Hevner et al., 2004; Peffers et al., 2007) para el desarrollo, acompañado de una evaluación no experimental, transversal y de alcance descriptivo. La razón es doble. Primero, el objetivo general es desarrollar un artefacto, la plataforma, y la metodología de Peffers et al. recorre ese camino completo, desde el problema hasta la evaluación del artefacto. Segundo, un diseño experimental o cuasiexperimental exigiría manipular una variable independiente y comparar grupos para atribuir un efecto, por ejemplo sobre la motivación o el rendimiento, y esta investigación no pretende medir ese efecto sino la calidad técnica y la aceptación de la plataforma. La evaluación es transversal porque cada participante usa la plataforma y responde el instrumento en una sola ocasión, y es descriptiva porque se miden las variables y se reportan sus valores. Un diseño longitudinal se descarta por el tiempo disponible, que son nueve meses.</w:t>
            </w:r>
          </w:p>
          <w:p w:rsidR="00000000" w:rsidDel="00000000" w:rsidP="00000000" w:rsidRDefault="00000000" w:rsidRPr="00000000" w14:paraId="000001C8">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artefacto sigue un ciclo iterativo e incremental con Scrum (Schwaber y Sutherland, 2020): un backlog del producto priorizado, iteraciones de duración fija y una revisión del incremento al cierre de cada una.</w:t>
            </w:r>
          </w:p>
          <w:p w:rsidR="00000000" w:rsidDel="00000000" w:rsidP="00000000" w:rsidRDefault="00000000" w:rsidRPr="00000000" w14:paraId="000001E7">
            <w:pPr>
              <w:keepNext w:val="1"/>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keepNext w:val="1"/>
              <w:widowControl w:val="0"/>
              <w:numPr>
                <w:ilvl w:val="0"/>
                <w:numId w:val="5"/>
              </w:numPr>
              <w:spacing w:after="240" w:before="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Procedimiento de la investigación.</w:t>
            </w:r>
          </w:p>
          <w:p w:rsidR="00000000" w:rsidDel="00000000" w:rsidP="00000000" w:rsidRDefault="00000000" w:rsidRPr="00000000" w14:paraId="000001E9">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investigación se ejecuta en cinco fases articuladas con los objetivos específicos y con el cronograma de nueve meses. Las fases 3 y 4 se solapan de forma deliberada, porque las pruebas se aplican a cada incremento a medida que se construye. Las fases siguen las actividades de Peffers et al. (2007): la fase 1 corresponde a la identificación del problema y la definición de los objetivos de la solución, las fases 2 y 3 al diseño y desarrollo, la fase 4 a la demostración y la evaluación, y la fase 5 a la comunicación.</w:t>
            </w:r>
          </w:p>
          <w:p w:rsidR="00000000" w:rsidDel="00000000" w:rsidP="00000000" w:rsidRDefault="00000000" w:rsidRPr="00000000" w14:paraId="000001EA">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Diagnóstico e ingeniería de requisitos, meses 1 y 2, objetivo 1.</w:t>
            </w:r>
            <w:r w:rsidDel="00000000" w:rsidR="00000000" w:rsidRPr="00000000">
              <w:rPr>
                <w:rFonts w:ascii="Times New Roman" w:cs="Times New Roman" w:eastAsia="Times New Roman" w:hAnsi="Times New Roman"/>
                <w:sz w:val="24"/>
                <w:szCs w:val="24"/>
                <w:rtl w:val="0"/>
              </w:rPr>
              <w:t xml:space="preserve"> Se revisan la literatura y la documentación técnica, se levantan los requerimientos funcionales y no funcionales con entrevistas y observación a docentes y directivos docentes, se modelan los procesos de gestión de recompensas y se definen las dinámicas de incentivos que tendrá el sistema. Los requerimientos se convierten en historias de usuario y se organizan en un backlog priorizado. Los requisitos no funcionales incluyen los umbrales de tiempo de respuesta y de capacidad contra los que se evaluará después. Producto: documento de requisitos, historias de usuario y backlog.</w:t>
            </w:r>
          </w:p>
          <w:p w:rsidR="00000000" w:rsidDel="00000000" w:rsidP="00000000" w:rsidRDefault="00000000" w:rsidRPr="00000000" w14:paraId="000001EB">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Diseño de la arquitectura y de la experiencia de usuario, meses 3 y 4, objetivos 2 y 3.</w:t>
            </w:r>
            <w:r w:rsidDel="00000000" w:rsidR="00000000" w:rsidRPr="00000000">
              <w:rPr>
                <w:rFonts w:ascii="Times New Roman" w:cs="Times New Roman" w:eastAsia="Times New Roman" w:hAnsi="Times New Roman"/>
                <w:sz w:val="24"/>
                <w:szCs w:val="24"/>
                <w:rtl w:val="0"/>
              </w:rPr>
              <w:t xml:space="preserve"> Se diseñan la arquitectura modular, el modelo de datos relacional, los servicios de la API y las interfaces, con el aislamiento lógico de la información entre instituciones. Se define el flujo de integración del asistente de inteligencia artificial, con verificación de permisos y confirmación en las operaciones sensibles. En esta fase se preparan también los instrumentos de evaluación: los casos de prueba, el banco de solicitudes del asistente y el cuestionario del modelo de aceptación, que se somete a revisión de expertos. Producto: modelo entidad-relación, especificación de la API, prototipos de interfaz y plan de pruebas.</w:t>
            </w:r>
          </w:p>
          <w:p w:rsidR="00000000" w:rsidDel="00000000" w:rsidP="00000000" w:rsidRDefault="00000000" w:rsidRPr="00000000" w14:paraId="000001EC">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3. Desarrollo de software, meses 4 a 6, objetivo 4.</w:t>
            </w:r>
            <w:r w:rsidDel="00000000" w:rsidR="00000000" w:rsidRPr="00000000">
              <w:rPr>
                <w:rFonts w:ascii="Times New Roman" w:cs="Times New Roman" w:eastAsia="Times New Roman" w:hAnsi="Times New Roman"/>
                <w:sz w:val="24"/>
                <w:szCs w:val="24"/>
                <w:rtl w:val="0"/>
              </w:rPr>
              <w:t xml:space="preserve"> Se construyen por incrementos los módulos de gestión de aulas, grupos y actividades, la billetera digital, las subastas en tiempo real, los reportes institucionales y el asistente de inteligencia artificial. Cada módulo se entrega con sus pruebas unitarias y de integración, y al cierre de cada iteración se revisa el incremento contra el backlog. Producto: versión funcional de la plataforma y su repositorio de código.</w:t>
            </w:r>
          </w:p>
          <w:p w:rsidR="00000000" w:rsidDel="00000000" w:rsidP="00000000" w:rsidRDefault="00000000" w:rsidRPr="00000000" w14:paraId="000001ED">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4. Validación y evaluación, meses 6 a 8, objetivo 5.</w:t>
            </w:r>
            <w:r w:rsidDel="00000000" w:rsidR="00000000" w:rsidRPr="00000000">
              <w:rPr>
                <w:rFonts w:ascii="Times New Roman" w:cs="Times New Roman" w:eastAsia="Times New Roman" w:hAnsi="Times New Roman"/>
                <w:sz w:val="24"/>
                <w:szCs w:val="24"/>
                <w:rtl w:val="0"/>
              </w:rPr>
              <w:t xml:space="preserve"> Se ejecutan las pruebas técnicas completas (funcionales, de integración, de desempeño y concurrencia, y de seguridad y aislamiento) y las pruebas del asistente. Después se hacen sesiones de uso guiado con los participantes, con escenarios de tareas definidos, observación estructurada y aplicación del cuestionario. Los hallazgos que afecten el funcionamiento se corrigen antes de cerrar la fase. Producto: informe de pruebas y base de datos de resultados.</w:t>
            </w:r>
          </w:p>
          <w:p w:rsidR="00000000" w:rsidDel="00000000" w:rsidP="00000000" w:rsidRDefault="00000000" w:rsidRPr="00000000" w14:paraId="000001EE">
            <w:pPr>
              <w:spacing w:after="12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 5. Documentación y socialización, meses 7 a 9.</w:t>
            </w:r>
            <w:r w:rsidDel="00000000" w:rsidR="00000000" w:rsidRPr="00000000">
              <w:rPr>
                <w:rFonts w:ascii="Times New Roman" w:cs="Times New Roman" w:eastAsia="Times New Roman" w:hAnsi="Times New Roman"/>
                <w:sz w:val="24"/>
                <w:szCs w:val="24"/>
                <w:rtl w:val="0"/>
              </w:rPr>
              <w:t xml:space="preserve"> Se sistematizan y analizan los resultados, se elaboran el manual técnico y el manual de usuario y se redacta el informe final. Los resultados se presentan a la comunidad académica. Producto: informe final, manuales y presentación.</w:t>
            </w:r>
            <w:r w:rsidDel="00000000" w:rsidR="00000000" w:rsidRPr="00000000">
              <w:rPr>
                <w:rtl w:val="0"/>
              </w:rPr>
            </w:r>
          </w:p>
          <w:p w:rsidR="00000000" w:rsidDel="00000000" w:rsidP="00000000" w:rsidRDefault="00000000" w:rsidRPr="00000000" w14:paraId="000001EF">
            <w:pPr>
              <w:keepNext w:val="1"/>
              <w:widowControl w:val="0"/>
              <w:numPr>
                <w:ilvl w:val="0"/>
                <w:numId w:val="5"/>
              </w:numPr>
              <w:spacing w:after="240" w:before="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Técnicas e instrumentos de recolección de la información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F0">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técnica se eligió para obtener los datos de uno o varios indicadores del cuadro 7.3. Las fuentes primarias son los datos que genera el propio estudio: registros del sistema, resultados de pruebas y respuestas y observaciones de los participantes. Las fuentes secundarias son la documentación técnica y la literatura. A continuación se explica para qué sirve cada técnica y cómo se aplica, y la tabla 1 las resume.</w:t>
            </w:r>
          </w:p>
          <w:p w:rsidR="00000000" w:rsidDel="00000000" w:rsidP="00000000" w:rsidRDefault="00000000" w:rsidRPr="00000000" w14:paraId="000001F1">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Revisión documental.</w:t>
            </w:r>
            <w:r w:rsidDel="00000000" w:rsidR="00000000" w:rsidRPr="00000000">
              <w:rPr>
                <w:rFonts w:ascii="Times New Roman" w:cs="Times New Roman" w:eastAsia="Times New Roman" w:hAnsi="Times New Roman"/>
                <w:sz w:val="24"/>
                <w:szCs w:val="24"/>
                <w:rtl w:val="0"/>
              </w:rPr>
              <w:t xml:space="preserve"> Sirve para que los requisitos y las decisiones de diseño se apoyen en fuentes confiables y no en suposiciones: normas como la ISO/IEC 25010, la documentación de los protocolos y componentes que se emplean y los antecedentes del marco teórico. Se aplica en las fases 1 y 2 con una matriz de revisión en la que se registra la fuente, la idea que aporta y la decisión de diseño a la que se vincula.</w:t>
            </w:r>
          </w:p>
          <w:p w:rsidR="00000000" w:rsidDel="00000000" w:rsidP="00000000" w:rsidRDefault="00000000" w:rsidRPr="00000000" w14:paraId="000001F2">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Entrevista semiestructurada y observación.</w:t>
            </w:r>
            <w:r w:rsidDel="00000000" w:rsidR="00000000" w:rsidRPr="00000000">
              <w:rPr>
                <w:rFonts w:ascii="Times New Roman" w:cs="Times New Roman" w:eastAsia="Times New Roman" w:hAnsi="Times New Roman"/>
                <w:sz w:val="24"/>
                <w:szCs w:val="24"/>
                <w:rtl w:val="0"/>
              </w:rPr>
              <w:t xml:space="preserve"> Sirven para conocer cómo se asignan hoy los incentivos y qué necesitan docentes y directivos docentes, información que no aparece en los documentos. Sommerville (2011) describe las entrevistas, los escenarios y la etnografía entre las técnicas de obtención de requisitos. Se aplican en la fase 1, con una guía de preguntas común para todos los entrevistados, y sus resultados se transforman en historias de usuario. Alimentan el indicador de dinámicas de la gamificación.</w:t>
            </w:r>
          </w:p>
          <w:p w:rsidR="00000000" w:rsidDel="00000000" w:rsidP="00000000" w:rsidRDefault="00000000" w:rsidRPr="00000000" w14:paraId="000001F3">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Pruebas automatizadas funcionales y de integración.</w:t>
            </w:r>
            <w:r w:rsidDel="00000000" w:rsidR="00000000" w:rsidRPr="00000000">
              <w:rPr>
                <w:rFonts w:ascii="Times New Roman" w:cs="Times New Roman" w:eastAsia="Times New Roman" w:hAnsi="Times New Roman"/>
                <w:sz w:val="24"/>
                <w:szCs w:val="24"/>
                <w:rtl w:val="0"/>
              </w:rPr>
              <w:t xml:space="preserve"> Verifican que el sistema hace lo que dicen los requisitos (Myers et al., 2011; Pressman, 2010) y alimentan los indicadores de completitud y corrección funcional. Las pruebas unitarias se escriben junto con cada módulo y las de integración comprueban que la interfaz, el servidor y la base de datos funcionan en conjunto. Los instrumentos son las suites de pruebas con sus informes de ejecución, de los que se toma el porcentaje de casos aprobados, y una matriz de trazabilidad que relaciona cada requisito con sus casos de prueba.</w:t>
            </w:r>
          </w:p>
          <w:p w:rsidR="00000000" w:rsidDel="00000000" w:rsidP="00000000" w:rsidRDefault="00000000" w:rsidRPr="00000000" w14:paraId="000001F4">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Pruebas de desempeño y concurrencia.</w:t>
            </w:r>
            <w:r w:rsidDel="00000000" w:rsidR="00000000" w:rsidRPr="00000000">
              <w:rPr>
                <w:rFonts w:ascii="Times New Roman" w:cs="Times New Roman" w:eastAsia="Times New Roman" w:hAnsi="Times New Roman"/>
                <w:sz w:val="24"/>
                <w:szCs w:val="24"/>
                <w:rtl w:val="0"/>
              </w:rPr>
              <w:t xml:space="preserve"> El tiempo de respuesta y la capacidad no se pueden juzgar a simple vista: hay que medirlos bajo carga (Jain, 1991; Smith y Williams, 2002). Se simulan cantidades crecientes de usuarios y de ofertas simultáneas sobre una misma subasta con scripts de carga, y los registros del servidor aportan el tiempo de respuesta, la latencia de actualización y los errores. Con las mismas pruebas se verifica que los saldos queden consistentes después de ofertas simultáneas (Silberschatz et al., 2010). Los instrumentos son los scripts de carga y los registros del servidor.</w:t>
            </w:r>
          </w:p>
          <w:p w:rsidR="00000000" w:rsidDel="00000000" w:rsidP="00000000" w:rsidRDefault="00000000" w:rsidRPr="00000000" w14:paraId="000001F5">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Pruebas de seguridad y aislamiento.</w:t>
            </w:r>
            <w:r w:rsidDel="00000000" w:rsidR="00000000" w:rsidRPr="00000000">
              <w:rPr>
                <w:rFonts w:ascii="Times New Roman" w:cs="Times New Roman" w:eastAsia="Times New Roman" w:hAnsi="Times New Roman"/>
                <w:sz w:val="24"/>
                <w:szCs w:val="24"/>
                <w:rtl w:val="0"/>
              </w:rPr>
              <w:t xml:space="preserve"> Comprueban que cada usuario accede solo a lo que le corresponde y que los datos de una institución no llegan a otra, que es el riesgo central de un sistema compartido (Bezemer et al., 2010; Stallings y Brown, 2018). Se diseñan casos de acceso entre instituciones y entre roles y se revisa que las operaciones sensibles queden en el historial. El instrumento es una lista de casos con el resultado esperado y el obtenido.</w:t>
            </w:r>
          </w:p>
          <w:p w:rsidR="00000000" w:rsidDel="00000000" w:rsidP="00000000" w:rsidRDefault="00000000" w:rsidRPr="00000000" w14:paraId="000001F6">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Pruebas del asistente de inteligencia artificial.</w:t>
            </w:r>
            <w:r w:rsidDel="00000000" w:rsidR="00000000" w:rsidRPr="00000000">
              <w:rPr>
                <w:rFonts w:ascii="Times New Roman" w:cs="Times New Roman" w:eastAsia="Times New Roman" w:hAnsi="Times New Roman"/>
                <w:sz w:val="24"/>
                <w:szCs w:val="24"/>
                <w:rtl w:val="0"/>
              </w:rPr>
              <w:t xml:space="preserve"> Como el asistente interpreta lenguaje natural, su evaluación necesita un conjunto fijo de solicitudes con la acción esperada, de modo que los resultados sean repetibles y comparables. Mittal et al. (2025) evalúan de esta forma la selección de funciones de un asistente educativo. Se prepara un banco de solicitudes dentro del alcance definido y se registra si el asistente ejecutó la acción correcta, con el permiso correcto y con confirmación en las operaciones sensibles. El instrumento es el banco de solicitudes con su hoja de registro.</w:t>
            </w:r>
          </w:p>
          <w:p w:rsidR="00000000" w:rsidDel="00000000" w:rsidP="00000000" w:rsidRDefault="00000000" w:rsidRPr="00000000" w14:paraId="000001F7">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Lista de verificación de gamificación.</w:t>
            </w:r>
            <w:r w:rsidDel="00000000" w:rsidR="00000000" w:rsidRPr="00000000">
              <w:rPr>
                <w:rFonts w:ascii="Times New Roman" w:cs="Times New Roman" w:eastAsia="Times New Roman" w:hAnsi="Times New Roman"/>
                <w:sz w:val="24"/>
                <w:szCs w:val="24"/>
                <w:rtl w:val="0"/>
              </w:rPr>
              <w:t xml:space="preserve"> Las dinámicas, mecánicas y componentes se comprueban con una matriz construida a partir de la clasificación de Werbach y Hunter (2012), en la que cada elemento definido en los requisitos se marca como implementado y funcionando o no. Se usa al cierre de cada incremento y en la fase 4.</w:t>
            </w:r>
          </w:p>
          <w:p w:rsidR="00000000" w:rsidDel="00000000" w:rsidP="00000000" w:rsidRDefault="00000000" w:rsidRPr="00000000" w14:paraId="000001F8">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Cuestionario del Modelo de Aceptación Tecnológica.</w:t>
            </w:r>
            <w:r w:rsidDel="00000000" w:rsidR="00000000" w:rsidRPr="00000000">
              <w:rPr>
                <w:rFonts w:ascii="Times New Roman" w:cs="Times New Roman" w:eastAsia="Times New Roman" w:hAnsi="Times New Roman"/>
                <w:sz w:val="24"/>
                <w:szCs w:val="24"/>
                <w:rtl w:val="0"/>
              </w:rPr>
              <w:t xml:space="preserve"> Es la técnica adecuada para medir percepciones, y las escalas de Davis (1989) cuentan con evidencia de confiabilidad: el autor reporta coeficientes de .98 para la utilidad y .94 para la facilidad de uso. El instrumento son las dos escalas de seis ítems, adaptadas a la plataforma y respondidas en escala Likert de 1 a 5 (Likert, 1932). Antes de aplicarlo lo revisan docentes con experiencia en el área y se hace una lectura previa con unos pocos usuarios para asegurar que se entiende. Se aplica de forma anónima al terminar la sesión guiada de uso e incluye al final una pregunta abierta para comentarios.</w:t>
            </w:r>
          </w:p>
          <w:p w:rsidR="00000000" w:rsidDel="00000000" w:rsidP="00000000" w:rsidRDefault="00000000" w:rsidRPr="00000000" w14:paraId="000001F9">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Observación estructurada de las sesiones de uso.</w:t>
            </w:r>
            <w:r w:rsidDel="00000000" w:rsidR="00000000" w:rsidRPr="00000000">
              <w:rPr>
                <w:rFonts w:ascii="Times New Roman" w:cs="Times New Roman" w:eastAsia="Times New Roman" w:hAnsi="Times New Roman"/>
                <w:sz w:val="24"/>
                <w:szCs w:val="24"/>
                <w:rtl w:val="0"/>
              </w:rPr>
              <w:t xml:space="preserve"> Los errores de navegación se registran por observación directa durante la tarea, que es la forma de obtener un dato objetivo sobre ellos, y se relacionan con los atributos de usabilidad de Nielsen (1993). Mientras los participantes resuelven escenarios definidos, como consultar un saldo, ofertar en una subasta o pedir un reporte al asistente, un observador anota en una hoja el número de errores por sesión y las dificultades que aparecen.</w:t>
            </w:r>
          </w:p>
          <w:p w:rsidR="00000000" w:rsidDel="00000000" w:rsidP="00000000" w:rsidRDefault="00000000" w:rsidRPr="00000000" w14:paraId="000001FA">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w:t>
            </w:r>
            <w:r w:rsidDel="00000000" w:rsidR="00000000" w:rsidRPr="00000000">
              <w:rPr>
                <w:rtl w:val="0"/>
              </w:rPr>
            </w:r>
          </w:p>
          <w:p w:rsidR="00000000" w:rsidDel="00000000" w:rsidP="00000000" w:rsidRDefault="00000000" w:rsidRPr="00000000" w14:paraId="000001FB">
            <w:pPr>
              <w:keepNext w:val="1"/>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Técnicas e instrumentos de recolección de la información, indicadores que alimentan y fase de aplicación</w:t>
            </w:r>
          </w:p>
          <w:sdt>
            <w:sdtPr>
              <w:lock w:val="contentLocked"/>
              <w:id w:val="-243831864"/>
              <w:tag w:val="goog_rdk_10"/>
            </w:sdtPr>
            <w:sdtContent>
              <w:tbl>
                <w:tblPr>
                  <w:tblStyle w:val="Table12"/>
                  <w:tblW w:w="868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1.5"/>
                  <w:gridCol w:w="2171.5"/>
                  <w:gridCol w:w="2171.5"/>
                  <w:gridCol w:w="2171.5"/>
                  <w:tblGridChange w:id="0">
                    <w:tblGrid>
                      <w:gridCol w:w="2171.5"/>
                      <w:gridCol w:w="2171.5"/>
                      <w:gridCol w:w="2171.5"/>
                      <w:gridCol w:w="2171.5"/>
                    </w:tblGrid>
                  </w:tblGridChange>
                </w:tblGrid>
                <w:tr>
                  <w:trPr>
                    <w:cantSplit w:val="0"/>
                    <w:tblHeader w:val="0"/>
                  </w:trPr>
                  <w:tc>
                    <w:tcPr>
                      <w:shd w:fill="d9d9d9" w:val="clear"/>
                    </w:tcPr>
                    <w:p w:rsidR="00000000" w:rsidDel="00000000" w:rsidP="00000000" w:rsidRDefault="00000000" w:rsidRPr="00000000" w14:paraId="000001F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Técnica</w:t>
                      </w:r>
                      <w:r w:rsidDel="00000000" w:rsidR="00000000" w:rsidRPr="00000000">
                        <w:rPr>
                          <w:rtl w:val="0"/>
                        </w:rPr>
                      </w:r>
                    </w:p>
                  </w:tc>
                  <w:tc>
                    <w:tcPr>
                      <w:shd w:fill="d9d9d9" w:val="clear"/>
                    </w:tcPr>
                    <w:p w:rsidR="00000000" w:rsidDel="00000000" w:rsidP="00000000" w:rsidRDefault="00000000" w:rsidRPr="00000000" w14:paraId="000001F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Instrumento</w:t>
                      </w:r>
                      <w:r w:rsidDel="00000000" w:rsidR="00000000" w:rsidRPr="00000000">
                        <w:rPr>
                          <w:rtl w:val="0"/>
                        </w:rPr>
                      </w:r>
                    </w:p>
                  </w:tc>
                  <w:tc>
                    <w:tcPr>
                      <w:shd w:fill="d9d9d9" w:val="clear"/>
                    </w:tcPr>
                    <w:p w:rsidR="00000000" w:rsidDel="00000000" w:rsidP="00000000" w:rsidRDefault="00000000" w:rsidRPr="00000000" w14:paraId="000001F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Indicadores que alimenta</w:t>
                      </w:r>
                      <w:r w:rsidDel="00000000" w:rsidR="00000000" w:rsidRPr="00000000">
                        <w:rPr>
                          <w:rtl w:val="0"/>
                        </w:rPr>
                      </w:r>
                    </w:p>
                  </w:tc>
                  <w:tc>
                    <w:tcPr>
                      <w:shd w:fill="d9d9d9" w:val="clear"/>
                    </w:tcPr>
                    <w:p w:rsidR="00000000" w:rsidDel="00000000" w:rsidP="00000000" w:rsidRDefault="00000000" w:rsidRPr="00000000" w14:paraId="000001F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Fase</w:t>
                      </w:r>
                      <w:r w:rsidDel="00000000" w:rsidR="00000000" w:rsidRPr="00000000">
                        <w:rPr>
                          <w:rtl w:val="0"/>
                        </w:rPr>
                      </w:r>
                    </w:p>
                  </w:tc>
                </w:tr>
                <w:tr>
                  <w:trPr>
                    <w:cantSplit w:val="0"/>
                    <w:tblHeader w:val="0"/>
                  </w:trPr>
                  <w:tc>
                    <w:tcPr/>
                    <w:p w:rsidR="00000000" w:rsidDel="00000000" w:rsidP="00000000" w:rsidRDefault="00000000" w:rsidRPr="00000000" w14:paraId="000002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Revisión documental</w:t>
                      </w:r>
                      <w:r w:rsidDel="00000000" w:rsidR="00000000" w:rsidRPr="00000000">
                        <w:rPr>
                          <w:rtl w:val="0"/>
                        </w:rPr>
                      </w:r>
                    </w:p>
                  </w:tc>
                  <w:tc>
                    <w:tcPr/>
                    <w:p w:rsidR="00000000" w:rsidDel="00000000" w:rsidP="00000000" w:rsidRDefault="00000000" w:rsidRPr="00000000" w14:paraId="000002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Matriz de revisión de fuentes</w:t>
                      </w:r>
                      <w:r w:rsidDel="00000000" w:rsidR="00000000" w:rsidRPr="00000000">
                        <w:rPr>
                          <w:rtl w:val="0"/>
                        </w:rPr>
                      </w:r>
                    </w:p>
                  </w:tc>
                  <w:tc>
                    <w:tcPr/>
                    <w:p w:rsidR="00000000" w:rsidDel="00000000" w:rsidP="00000000" w:rsidRDefault="00000000" w:rsidRPr="00000000" w14:paraId="000002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Sustento de los requisitos y de las decisiones de diseño</w:t>
                      </w:r>
                      <w:r w:rsidDel="00000000" w:rsidR="00000000" w:rsidRPr="00000000">
                        <w:rPr>
                          <w:rtl w:val="0"/>
                        </w:rPr>
                      </w:r>
                    </w:p>
                  </w:tc>
                  <w:tc>
                    <w:tcPr/>
                    <w:p w:rsidR="00000000" w:rsidDel="00000000" w:rsidP="00000000" w:rsidRDefault="00000000" w:rsidRPr="00000000" w14:paraId="000002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 y 2</w:t>
                      </w:r>
                      <w:r w:rsidDel="00000000" w:rsidR="00000000" w:rsidRPr="00000000">
                        <w:rPr>
                          <w:rtl w:val="0"/>
                        </w:rPr>
                      </w:r>
                    </w:p>
                  </w:tc>
                </w:tr>
                <w:tr>
                  <w:trPr>
                    <w:cantSplit w:val="0"/>
                    <w:tblHeader w:val="0"/>
                  </w:trPr>
                  <w:tc>
                    <w:tcPr/>
                    <w:p w:rsidR="00000000" w:rsidDel="00000000" w:rsidP="00000000" w:rsidRDefault="00000000" w:rsidRPr="00000000" w14:paraId="000002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Entrevista semiestructurada y observación</w:t>
                      </w:r>
                      <w:r w:rsidDel="00000000" w:rsidR="00000000" w:rsidRPr="00000000">
                        <w:rPr>
                          <w:rtl w:val="0"/>
                        </w:rPr>
                      </w:r>
                    </w:p>
                  </w:tc>
                  <w:tc>
                    <w:tcPr/>
                    <w:p w:rsidR="00000000" w:rsidDel="00000000" w:rsidP="00000000" w:rsidRDefault="00000000" w:rsidRPr="00000000" w14:paraId="000002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Guía de entrevista y notas de observación</w:t>
                      </w:r>
                      <w:r w:rsidDel="00000000" w:rsidR="00000000" w:rsidRPr="00000000">
                        <w:rPr>
                          <w:rtl w:val="0"/>
                        </w:rPr>
                      </w:r>
                    </w:p>
                  </w:tc>
                  <w:tc>
                    <w:tcPr/>
                    <w:p w:rsidR="00000000" w:rsidDel="00000000" w:rsidP="00000000" w:rsidRDefault="00000000" w:rsidRPr="00000000" w14:paraId="000002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dinámicas de incentivos definidas en los requisitos</w:t>
                      </w:r>
                      <w:r w:rsidDel="00000000" w:rsidR="00000000" w:rsidRPr="00000000">
                        <w:rPr>
                          <w:rtl w:val="0"/>
                        </w:rPr>
                      </w:r>
                    </w:p>
                  </w:tc>
                  <w:tc>
                    <w:tcPr/>
                    <w:p w:rsidR="00000000" w:rsidDel="00000000" w:rsidP="00000000" w:rsidRDefault="00000000" w:rsidRPr="00000000" w14:paraId="000002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Pruebas funcionales y de integración</w:t>
                      </w:r>
                      <w:r w:rsidDel="00000000" w:rsidR="00000000" w:rsidRPr="00000000">
                        <w:rPr>
                          <w:rtl w:val="0"/>
                        </w:rPr>
                      </w:r>
                    </w:p>
                  </w:tc>
                  <w:tc>
                    <w:tcPr/>
                    <w:p w:rsidR="00000000" w:rsidDel="00000000" w:rsidP="00000000" w:rsidRDefault="00000000" w:rsidRPr="00000000" w14:paraId="000002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Suites de pruebas automatizadas y matriz de trazabilidad</w:t>
                      </w:r>
                      <w:r w:rsidDel="00000000" w:rsidR="00000000" w:rsidRPr="00000000">
                        <w:rPr>
                          <w:rtl w:val="0"/>
                        </w:rPr>
                      </w:r>
                    </w:p>
                  </w:tc>
                  <w:tc>
                    <w:tcPr/>
                    <w:p w:rsidR="00000000" w:rsidDel="00000000" w:rsidP="00000000" w:rsidRDefault="00000000" w:rsidRPr="00000000" w14:paraId="000002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requisitos funcionales implementados; % de casos de prueba aprobados</w:t>
                      </w:r>
                      <w:r w:rsidDel="00000000" w:rsidR="00000000" w:rsidRPr="00000000">
                        <w:rPr>
                          <w:rtl w:val="0"/>
                        </w:rPr>
                      </w:r>
                    </w:p>
                  </w:tc>
                  <w:tc>
                    <w:tcPr/>
                    <w:p w:rsidR="00000000" w:rsidDel="00000000" w:rsidP="00000000" w:rsidRDefault="00000000" w:rsidRPr="00000000" w14:paraId="000002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 y 4</w:t>
                      </w:r>
                      <w:r w:rsidDel="00000000" w:rsidR="00000000" w:rsidRPr="00000000">
                        <w:rPr>
                          <w:rtl w:val="0"/>
                        </w:rPr>
                      </w:r>
                    </w:p>
                  </w:tc>
                </w:tr>
                <w:tr>
                  <w:trPr>
                    <w:cantSplit w:val="0"/>
                    <w:tblHeader w:val="0"/>
                  </w:trPr>
                  <w:tc>
                    <w:tcPr/>
                    <w:p w:rsidR="00000000" w:rsidDel="00000000" w:rsidP="00000000" w:rsidRDefault="00000000" w:rsidRPr="00000000" w14:paraId="000002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Pruebas de desempeño y concurrencia</w:t>
                      </w:r>
                      <w:r w:rsidDel="00000000" w:rsidR="00000000" w:rsidRPr="00000000">
                        <w:rPr>
                          <w:rtl w:val="0"/>
                        </w:rPr>
                      </w:r>
                    </w:p>
                  </w:tc>
                  <w:tc>
                    <w:tcPr/>
                    <w:p w:rsidR="00000000" w:rsidDel="00000000" w:rsidP="00000000" w:rsidRDefault="00000000" w:rsidRPr="00000000" w14:paraId="000002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Scripts de carga y registros del servidor</w:t>
                      </w:r>
                      <w:r w:rsidDel="00000000" w:rsidR="00000000" w:rsidRPr="00000000">
                        <w:rPr>
                          <w:rtl w:val="0"/>
                        </w:rPr>
                      </w:r>
                    </w:p>
                  </w:tc>
                  <w:tc>
                    <w:tcPr/>
                    <w:p w:rsidR="00000000" w:rsidDel="00000000" w:rsidP="00000000" w:rsidRDefault="00000000" w:rsidRPr="00000000" w14:paraId="000002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Tiempo de respuesta y latencia; usuarios simultáneos; % de transacciones completadas; inconsistencias de saldo; % de disponibilidad</w:t>
                      </w:r>
                      <w:r w:rsidDel="00000000" w:rsidR="00000000" w:rsidRPr="00000000">
                        <w:rPr>
                          <w:rtl w:val="0"/>
                        </w:rPr>
                      </w:r>
                    </w:p>
                  </w:tc>
                  <w:tc>
                    <w:tcPr/>
                    <w:p w:rsidR="00000000" w:rsidDel="00000000" w:rsidP="00000000" w:rsidRDefault="00000000" w:rsidRPr="00000000" w14:paraId="000002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2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Pruebas de seguridad y aislamiento</w:t>
                      </w:r>
                      <w:r w:rsidDel="00000000" w:rsidR="00000000" w:rsidRPr="00000000">
                        <w:rPr>
                          <w:rtl w:val="0"/>
                        </w:rPr>
                      </w:r>
                    </w:p>
                  </w:tc>
                  <w:tc>
                    <w:tcPr/>
                    <w:p w:rsidR="00000000" w:rsidDel="00000000" w:rsidP="00000000" w:rsidRDefault="00000000" w:rsidRPr="00000000" w14:paraId="000002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Lista de casos de acceso con resultado esperado y obtenido</w:t>
                      </w:r>
                      <w:r w:rsidDel="00000000" w:rsidR="00000000" w:rsidRPr="00000000">
                        <w:rPr>
                          <w:rtl w:val="0"/>
                        </w:rPr>
                      </w:r>
                    </w:p>
                  </w:tc>
                  <w:tc>
                    <w:tcPr/>
                    <w:p w:rsidR="00000000" w:rsidDel="00000000" w:rsidP="00000000" w:rsidRDefault="00000000" w:rsidRPr="00000000" w14:paraId="000002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Pruebas de acceso entre instituciones; % de operaciones con control por rol; % de operaciones registradas</w:t>
                      </w:r>
                      <w:r w:rsidDel="00000000" w:rsidR="00000000" w:rsidRPr="00000000">
                        <w:rPr>
                          <w:rtl w:val="0"/>
                        </w:rPr>
                      </w:r>
                    </w:p>
                  </w:tc>
                  <w:tc>
                    <w:tcPr/>
                    <w:p w:rsidR="00000000" w:rsidDel="00000000" w:rsidP="00000000" w:rsidRDefault="00000000" w:rsidRPr="00000000" w14:paraId="000002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2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Pruebas del asistente de IA</w:t>
                      </w:r>
                      <w:r w:rsidDel="00000000" w:rsidR="00000000" w:rsidRPr="00000000">
                        <w:rPr>
                          <w:rtl w:val="0"/>
                        </w:rPr>
                      </w:r>
                    </w:p>
                  </w:tc>
                  <w:tc>
                    <w:tcPr/>
                    <w:p w:rsidR="00000000" w:rsidDel="00000000" w:rsidP="00000000" w:rsidRDefault="00000000" w:rsidRPr="00000000" w14:paraId="000002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Banco de solicitudes con hoja de registro</w:t>
                      </w:r>
                      <w:r w:rsidDel="00000000" w:rsidR="00000000" w:rsidRPr="00000000">
                        <w:rPr>
                          <w:rtl w:val="0"/>
                        </w:rPr>
                      </w:r>
                    </w:p>
                  </w:tc>
                  <w:tc>
                    <w:tcPr/>
                    <w:p w:rsidR="00000000" w:rsidDel="00000000" w:rsidP="00000000" w:rsidRDefault="00000000" w:rsidRPr="00000000" w14:paraId="000002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solicitudes ejecutadas correctamente dentro del alcance</w:t>
                      </w:r>
                      <w:r w:rsidDel="00000000" w:rsidR="00000000" w:rsidRPr="00000000">
                        <w:rPr>
                          <w:rtl w:val="0"/>
                        </w:rPr>
                      </w:r>
                    </w:p>
                  </w:tc>
                  <w:tc>
                    <w:tcPr/>
                    <w:p w:rsidR="00000000" w:rsidDel="00000000" w:rsidP="00000000" w:rsidRDefault="00000000" w:rsidRPr="00000000" w14:paraId="000002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2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Lista de verificación de gamificación</w:t>
                      </w:r>
                      <w:r w:rsidDel="00000000" w:rsidR="00000000" w:rsidRPr="00000000">
                        <w:rPr>
                          <w:rtl w:val="0"/>
                        </w:rPr>
                      </w:r>
                    </w:p>
                  </w:tc>
                  <w:tc>
                    <w:tcPr/>
                    <w:p w:rsidR="00000000" w:rsidDel="00000000" w:rsidP="00000000" w:rsidRDefault="00000000" w:rsidRPr="00000000" w14:paraId="000002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Matriz basada en Werbach y Hunter (2012)</w:t>
                      </w:r>
                      <w:r w:rsidDel="00000000" w:rsidR="00000000" w:rsidRPr="00000000">
                        <w:rPr>
                          <w:rtl w:val="0"/>
                        </w:rPr>
                      </w:r>
                    </w:p>
                  </w:tc>
                  <w:tc>
                    <w:tcPr/>
                    <w:p w:rsidR="00000000" w:rsidDel="00000000" w:rsidP="00000000" w:rsidRDefault="00000000" w:rsidRPr="00000000" w14:paraId="000002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mecánicas y de componentes en funcionamiento</w:t>
                      </w:r>
                      <w:r w:rsidDel="00000000" w:rsidR="00000000" w:rsidRPr="00000000">
                        <w:rPr>
                          <w:rtl w:val="0"/>
                        </w:rPr>
                      </w:r>
                    </w:p>
                  </w:tc>
                  <w:tc>
                    <w:tcPr/>
                    <w:p w:rsidR="00000000" w:rsidDel="00000000" w:rsidP="00000000" w:rsidRDefault="00000000" w:rsidRPr="00000000" w14:paraId="000002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 y 4</w:t>
                      </w:r>
                      <w:r w:rsidDel="00000000" w:rsidR="00000000" w:rsidRPr="00000000">
                        <w:rPr>
                          <w:rtl w:val="0"/>
                        </w:rPr>
                      </w:r>
                    </w:p>
                  </w:tc>
                </w:tr>
                <w:tr>
                  <w:trPr>
                    <w:cantSplit w:val="0"/>
                    <w:tblHeader w:val="0"/>
                  </w:trPr>
                  <w:tc>
                    <w:tcPr/>
                    <w:p w:rsidR="00000000" w:rsidDel="00000000" w:rsidP="00000000" w:rsidRDefault="00000000" w:rsidRPr="00000000" w14:paraId="000002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Encuesta de aceptación tecnológica</w:t>
                      </w:r>
                      <w:r w:rsidDel="00000000" w:rsidR="00000000" w:rsidRPr="00000000">
                        <w:rPr>
                          <w:rtl w:val="0"/>
                        </w:rPr>
                      </w:r>
                    </w:p>
                  </w:tc>
                  <w:tc>
                    <w:tcPr/>
                    <w:p w:rsidR="00000000" w:rsidDel="00000000" w:rsidP="00000000" w:rsidRDefault="00000000" w:rsidRPr="00000000" w14:paraId="000002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Cuestionario TAM de dos escalas de seis ítems, escala Likert de 1 a 5</w:t>
                      </w:r>
                      <w:r w:rsidDel="00000000" w:rsidR="00000000" w:rsidRPr="00000000">
                        <w:rPr>
                          <w:rtl w:val="0"/>
                        </w:rPr>
                      </w:r>
                    </w:p>
                  </w:tc>
                  <w:tc>
                    <w:tcPr/>
                    <w:p w:rsidR="00000000" w:rsidDel="00000000" w:rsidP="00000000" w:rsidRDefault="00000000" w:rsidRPr="00000000" w14:paraId="000002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Utilidad percibida y facilidad de uso percibida</w:t>
                      </w:r>
                      <w:r w:rsidDel="00000000" w:rsidR="00000000" w:rsidRPr="00000000">
                        <w:rPr>
                          <w:rtl w:val="0"/>
                        </w:rPr>
                      </w:r>
                    </w:p>
                  </w:tc>
                  <w:tc>
                    <w:tcPr/>
                    <w:p w:rsidR="00000000" w:rsidDel="00000000" w:rsidP="00000000" w:rsidRDefault="00000000" w:rsidRPr="00000000" w14:paraId="000002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2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Observación estructurada de sesiones de uso</w:t>
                      </w:r>
                      <w:r w:rsidDel="00000000" w:rsidR="00000000" w:rsidRPr="00000000">
                        <w:rPr>
                          <w:rtl w:val="0"/>
                        </w:rPr>
                      </w:r>
                    </w:p>
                  </w:tc>
                  <w:tc>
                    <w:tcPr/>
                    <w:p w:rsidR="00000000" w:rsidDel="00000000" w:rsidP="00000000" w:rsidRDefault="00000000" w:rsidRPr="00000000" w14:paraId="000002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Hoja de registro de errores y dificultades</w:t>
                      </w:r>
                      <w:r w:rsidDel="00000000" w:rsidR="00000000" w:rsidRPr="00000000">
                        <w:rPr>
                          <w:rtl w:val="0"/>
                        </w:rPr>
                      </w:r>
                    </w:p>
                  </w:tc>
                  <w:tc>
                    <w:tcPr/>
                    <w:p w:rsidR="00000000" w:rsidDel="00000000" w:rsidP="00000000" w:rsidRDefault="00000000" w:rsidRPr="00000000" w14:paraId="000002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Errores de navegación por sesión</w:t>
                      </w:r>
                      <w:r w:rsidDel="00000000" w:rsidR="00000000" w:rsidRPr="00000000">
                        <w:rPr>
                          <w:rtl w:val="0"/>
                        </w:rPr>
                      </w:r>
                    </w:p>
                  </w:tc>
                  <w:tc>
                    <w:tcPr/>
                    <w:p w:rsidR="00000000" w:rsidDel="00000000" w:rsidP="00000000" w:rsidRDefault="00000000" w:rsidRPr="00000000" w14:paraId="000002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r>
              </w:tbl>
            </w:sdtContent>
          </w:sdt>
          <w:p w:rsidR="00000000" w:rsidDel="00000000" w:rsidP="00000000" w:rsidRDefault="00000000" w:rsidRPr="00000000" w14:paraId="00000224">
            <w:pPr>
              <w:keepNext w:val="1"/>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keepNext w:val="1"/>
              <w:widowControl w:val="0"/>
              <w:numPr>
                <w:ilvl w:val="0"/>
                <w:numId w:val="5"/>
              </w:numPr>
              <w:spacing w:after="240" w:before="2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Técnicas para el análisis de datos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226">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sigue el orden de los datos: primero se depuran y codifican, luego se describen y por último se contrastan con los criterios de aceptación. Los datos se agrupan en tres tipos: técnicos, que vienen de las pruebas y los registros del servidor, de percepción, que vienen del cuestionario, y cualitativos, que vienen de las entrevistas, las observaciones y los comentarios abiertos. El procesamiento se hace en hoja de cálculo y en un entorno de análisis estadístico, y los resultados se presentan en tablas y gráficos.</w:t>
            </w:r>
          </w:p>
          <w:p w:rsidR="00000000" w:rsidDel="00000000" w:rsidP="00000000" w:rsidRDefault="00000000" w:rsidRPr="00000000" w14:paraId="00000227">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Datos técnicos.</w:t>
            </w:r>
            <w:r w:rsidDel="00000000" w:rsidR="00000000" w:rsidRPr="00000000">
              <w:rPr>
                <w:rFonts w:ascii="Times New Roman" w:cs="Times New Roman" w:eastAsia="Times New Roman" w:hAnsi="Times New Roman"/>
                <w:sz w:val="24"/>
                <w:szCs w:val="24"/>
                <w:rtl w:val="0"/>
              </w:rPr>
              <w:t xml:space="preserve"> Se calculan porcentajes, como los casos aprobados, los requisitos implementados y las transacciones completadas, y conteos, como las inconsistencias de saldo y los errores por sesión. Para el tiempo de respuesta y la latencia se calculan la media, la mediana y el percentil 95. Este último muestra lo que vive el usuario en los casos más lentos y no se distorsiona por unos pocos valores extremos como puede ocurrir con la media (Jain, 1991).</w:t>
            </w:r>
          </w:p>
          <w:p w:rsidR="00000000" w:rsidDel="00000000" w:rsidP="00000000" w:rsidRDefault="00000000" w:rsidRPr="00000000" w14:paraId="00000228">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Datos del cuestionario.</w:t>
            </w:r>
            <w:r w:rsidDel="00000000" w:rsidR="00000000" w:rsidRPr="00000000">
              <w:rPr>
                <w:rFonts w:ascii="Times New Roman" w:cs="Times New Roman" w:eastAsia="Times New Roman" w:hAnsi="Times New Roman"/>
                <w:sz w:val="24"/>
                <w:szCs w:val="24"/>
                <w:rtl w:val="0"/>
              </w:rPr>
              <w:t xml:space="preserve"> Cada ítem se tabula con frecuencias y porcentajes, y para cada dimensión se calculan la media y la desviación estándar. Antes de interpretar los resultados se estima la confiabilidad de cada escala con el coeficiente alfa de Cronbach (1951), y un valor de 0,70 o más se toma como aceptable, que es el criterio de uso habitual. Como la muestra es no probabilística y pequeña, y el alcance es descriptivo, no se hacen inferencias sobre la población: los resultados describen a los participantes y las condiciones de prueba.</w:t>
            </w:r>
          </w:p>
          <w:p w:rsidR="00000000" w:rsidDel="00000000" w:rsidP="00000000" w:rsidRDefault="00000000" w:rsidRPr="00000000" w14:paraId="00000229">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Datos cualitativos.</w:t>
            </w:r>
            <w:r w:rsidDel="00000000" w:rsidR="00000000" w:rsidRPr="00000000">
              <w:rPr>
                <w:rFonts w:ascii="Times New Roman" w:cs="Times New Roman" w:eastAsia="Times New Roman" w:hAnsi="Times New Roman"/>
                <w:sz w:val="24"/>
                <w:szCs w:val="24"/>
                <w:rtl w:val="0"/>
              </w:rPr>
              <w:t xml:space="preserve"> Las respuestas abiertas, las notas de observación y las entrevistas se codifican por temas, por ejemplo facilidad de aprendizaje, claridad de la interfaz o dificultades con el asistente, y se cuenta cuántas veces aparece cada tema. Sirven para ilustrar y explicar los resultados numéricos.</w:t>
            </w:r>
          </w:p>
          <w:p w:rsidR="00000000" w:rsidDel="00000000" w:rsidP="00000000" w:rsidRDefault="00000000" w:rsidRPr="00000000" w14:paraId="0000022A">
            <w:pPr>
              <w:spacing w:after="12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de aceptación.</w:t>
            </w:r>
            <w:r w:rsidDel="00000000" w:rsidR="00000000" w:rsidRPr="00000000">
              <w:rPr>
                <w:rFonts w:ascii="Times New Roman" w:cs="Times New Roman" w:eastAsia="Times New Roman" w:hAnsi="Times New Roman"/>
                <w:sz w:val="24"/>
                <w:szCs w:val="24"/>
                <w:rtl w:val="0"/>
              </w:rPr>
              <w:t xml:space="preserve"> Los resultados se comparan con umbrales definidos antes de las pruebas. Los umbrales técnicos de tiempo de respuesta, capacidad y disponibilidad se fijan en los requisitos no funcionales de la fase 1. Se espera que todas las pruebas críticas de seguridad se aprueben y que no aparezcan inconsistencias de saldo. En el cuestionario, una media de 4,0 o más en la escala de 1 a 5 en cada dimensión se toma como aceptación favorable. Lo que no cumpla el criterio se documenta como oportunidad de mejora. Por último, los resultados técnicos y los de percepción se cruzan para ver si coinciden, por ejemplo si una latencia alta se refleja en comentarios sobre lentitud.</w:t>
            </w:r>
            <w:r w:rsidDel="00000000" w:rsidR="00000000" w:rsidRPr="00000000">
              <w:rPr>
                <w:rtl w:val="0"/>
              </w:rPr>
            </w:r>
          </w:p>
          <w:p w:rsidR="00000000" w:rsidDel="00000000" w:rsidP="00000000" w:rsidRDefault="00000000" w:rsidRPr="00000000" w14:paraId="0000022B">
            <w:pPr>
              <w:keepNext w:val="1"/>
              <w:widowControl w:val="0"/>
              <w:numPr>
                <w:ilvl w:val="0"/>
                <w:numId w:val="5"/>
              </w:numPr>
              <w:spacing w:after="240" w:before="200" w:line="360" w:lineRule="auto"/>
              <w:ind w:left="1440" w:hanging="360"/>
              <w:jc w:val="both"/>
              <w:rPr>
                <w:rFonts w:ascii="Times New Roman" w:cs="Times New Roman" w:eastAsia="Times New Roman" w:hAnsi="Times New Roman"/>
                <w:sz w:val="24"/>
                <w:szCs w:val="24"/>
              </w:rPr>
            </w:pPr>
            <w:sdt>
              <w:sdtPr>
                <w:id w:val="-1687240868"/>
                <w:tag w:val="goog_rdk_11"/>
              </w:sdtPr>
              <w:sdtContent/>
            </w:sdt>
            <w:r w:rsidDel="00000000" w:rsidR="00000000" w:rsidRPr="00000000">
              <w:rPr>
                <w:rFonts w:ascii="Times New Roman" w:cs="Times New Roman" w:eastAsia="Times New Roman" w:hAnsi="Times New Roman"/>
                <w:b w:val="1"/>
                <w:bCs w:val="1"/>
                <w:sz w:val="24"/>
                <w:szCs w:val="24"/>
                <w:rtl w:val="0"/>
              </w:rPr>
              <w:t xml:space="preserve">Población y muestra</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2 resume la población de estudio, la población accesible y los dos grupos que conforman la muestra, con la función que cumple cada uno en la validación.</w:t>
            </w:r>
          </w:p>
          <w:p w:rsidR="00000000" w:rsidDel="00000000" w:rsidP="00000000" w:rsidRDefault="00000000" w:rsidRPr="00000000">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w:t>
            </w:r>
            <w:r w:rsidDel="00000000" w:rsidR="00000000" w:rsidRPr="00000000">
              <w:rPr>
                <w:rtl w:val="0"/>
              </w:rPr>
            </w:r>
          </w:p>
          <w:p w:rsidR="00000000" w:rsidDel="00000000" w:rsidP="00000000" w:rsidRDefault="00000000" w:rsidRPr="00000000">
            <w:pPr>
              <w:keepNext w:val="1"/>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Población, población accesible y muestra del estudio</w:t>
            </w:r>
          </w:p>
          <w:sdt>
            <w:sdtPr>
              <w:lock w:val="contentLocked"/>
              <w:id w:val="73100123"/>
              <w:tag w:val="goog_rdk_18"/>
            </w:sdtPr>
            <w:sdtContent>
              <w:tbl>
                <w:tblPr>
                  <w:tblStyle w:val="Table23"/>
                  <w:tblW w:w="868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3333333333335"/>
                  <w:gridCol w:w="2895.3333333333335"/>
                  <w:gridCol w:w="2895.3333333333335"/>
                  <w:tblGridChange w:id="0">
                    <w:tblGrid>
                      <w:gridCol w:w="2895.3333333333335"/>
                      <w:gridCol w:w="2895.3333333333335"/>
                      <w:gridCol w:w="2895.3333333333335"/>
                    </w:tblGrid>
                  </w:tblGridChange>
                </w:tblGrid>
                <w:tr>
                  <w:trPr>
                    <w:cantSplit w:val="0"/>
                    <w:tblHeader w:val="0"/>
                  </w:trPr>
                  <w:tc>
                    <w:tcPr>
                      <w:shd w:fill="d9d9d9" w:val="clear"/>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Elemento</w:t>
                      </w:r>
                      <w:r w:rsidDel="00000000" w:rsidR="00000000" w:rsidRPr="00000000">
                        <w:rPr>
                          <w:rtl w:val="0"/>
                        </w:rPr>
                      </w:r>
                    </w:p>
                  </w:tc>
                  <w:tc>
                    <w:tcPr>
                      <w:shd w:fill="d9d9d9" w:val="clear"/>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Descripción</w:t>
                      </w:r>
                      <w:r w:rsidDel="00000000" w:rsidR="00000000" w:rsidRPr="00000000">
                        <w:rPr>
                          <w:rtl w:val="0"/>
                        </w:rPr>
                      </w:r>
                    </w:p>
                  </w:tc>
                  <w:tc>
                    <w:tcPr>
                      <w:shd w:fill="d9d9d9" w:val="clear"/>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Función en la validación</w:t>
                      </w:r>
                      <w:r w:rsidDel="00000000" w:rsidR="00000000" w:rsidRPr="00000000">
                        <w:rPr>
                          <w:rtl w:val="0"/>
                        </w:rPr>
                      </w:r>
                    </w:p>
                  </w:tc>
                </w:tr>
                <w:tr>
                  <w:trPr>
                    <w:cantSplit w:val="0"/>
                    <w:tblHeader w:val="0"/>
                  </w:trPr>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Población de estudio</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Estudiantes de educación media, docentes y directivos docentes de instituciones educativas de Riohacha, y estudiantes y docentes de programas universitarios de la ciudad</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Marco de referencia del estudio; no se muestrea al azar</w:t>
                      </w:r>
                      <w:r w:rsidDel="00000000" w:rsidR="00000000" w:rsidRPr="00000000">
                        <w:rPr>
                          <w:rtl w:val="0"/>
                        </w:rPr>
                      </w:r>
                    </w:p>
                  </w:tc>
                </w:tr>
                <w:tr>
                  <w:trPr>
                    <w:cantSplit w:val="0"/>
                    <w:tblHeader w:val="0"/>
                  </w:trPr>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Población accesible</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Estudiantes de los grados de educación media de una institución educativa local, con sus docentes y directivos docentes, y estudiantes y docentes del programa de Ingeniería de Sistemas de la Universidad de La Guajira, sede Riohacha</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Fuente de los dos grupos de la muestra</w:t>
                      </w:r>
                      <w:r w:rsidDel="00000000" w:rsidR="00000000" w:rsidRPr="00000000">
                        <w:rPr>
                          <w:rtl w:val="0"/>
                        </w:rPr>
                      </w:r>
                    </w:p>
                  </w:tc>
                </w:tr>
                <w:tr>
                  <w:trPr>
                    <w:cantSplit w:val="0"/>
                    <w:tblHeader w:val="0"/>
                  </w:trPr>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Muestra: grupo de usuarios finales</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Uno o dos grupos de grado de educación media de la institución participante, con sus docentes responsables</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Sesiones de uso guiado y cuestionario de aceptación</w:t>
                      </w:r>
                      <w:r w:rsidDel="00000000" w:rsidR="00000000" w:rsidRPr="00000000">
                        <w:rPr>
                          <w:rtl w:val="0"/>
                        </w:rPr>
                      </w:r>
                    </w:p>
                  </w:tc>
                </w:tr>
                <w:tr>
                  <w:trPr>
                    <w:cantSplit w:val="0"/>
                    <w:tblHeader w:val="0"/>
                  </w:trPr>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Muestra: grupo técnico y de expertos</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Estudiantes y docentes de la Universidad de La Guajira</w:t>
                      </w:r>
                      <w:r w:rsidDel="00000000" w:rsidR="00000000" w:rsidRPr="00000000">
                        <w:rPr>
                          <w:rtl w:val="0"/>
                        </w:rPr>
                      </w:r>
                    </w:p>
                  </w:tc>
                  <w:tc>
                    <w:tcPr/>
                    <w:p w:rsidR="00000000" w:rsidDel="00000000" w:rsidP="00000000" w:rsidRDefault="00000000" w:rsidRPr="000000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Pruebas de usabilidad en laboratorio, revisión del instrumento y validación de los escenarios de prueba</w:t>
                      </w:r>
                      <w:r w:rsidDel="00000000" w:rsidR="00000000" w:rsidRPr="00000000">
                        <w:rPr>
                          <w:rtl w:val="0"/>
                        </w:rPr>
                      </w:r>
                    </w:p>
                  </w:tc>
                </w:tr>
              </w:tbl>
            </w:sdtContent>
          </w:sdt>
          <w:p w:rsidR="00000000" w:rsidDel="00000000" w:rsidP="00000000" w:rsidRDefault="00000000" w:rsidRPr="00000000">
            <w:pPr>
              <w:spacing w:after="120" w:line="360" w:lineRule="auto" w:before="16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muestreo es no probabilístico por conveniencia, con grupos intactos, porque la selección depende del acceso y de la autorización de las instituciones y no del azar (Hernández et al., 2014). El tamaño de la muestra no se calcula con una fórmula, porque no se busca generalizar: queda determinado por los grupos que se asignen y se reporta con su número exacto en los resultados. Si la institución local no concede la autorización a tiempo, el grupo técnico asume también la aplicación del cuestionario, sin cambiar el diseño ni los indicadores, y los resultados se reportan indicando el perfil de los participantes. Participan quienes cuentan con la autorización de sus representantes legales, en el caso de menores de edad, y manifiestan su acuerdo. Las respuestas se recogen de forma anónima y se tratan de manera agregada, y la institución participante se menciona solo como institución educativa local. Se excluyen quienes no completan la sesión de uso o el cuestionario.</w:t>
            </w:r>
          </w:p>
        </w:tc>
      </w:tr>
    </w:tbl>
    <w:p w:rsidR="00000000" w:rsidDel="00000000" w:rsidP="00000000" w:rsidRDefault="00000000" w:rsidRPr="00000000" w14:paraId="00000230">
      <w:pPr>
        <w:spacing w:line="360" w:lineRule="auto"/>
        <w:jc w:val="both"/>
        <w:rPr>
          <w:rFonts w:ascii="Times New Roman" w:cs="Times New Roman" w:eastAsia="Times New Roman" w:hAnsi="Times New Roman"/>
        </w:rPr>
      </w:pPr>
      <w:r w:rsidDel="00000000" w:rsidR="00000000" w:rsidRPr="00000000">
        <w:rPr>
          <w:rtl w:val="0"/>
        </w:rPr>
      </w:r>
    </w:p>
    <w:tbl>
      <w:tblPr>
        <w:tblStyle w:val="Table13"/>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231">
            <w:pPr>
              <w:numPr>
                <w:ilvl w:val="0"/>
                <w:numId w:val="6"/>
              </w:numPr>
              <w:pBdr>
                <w:top w:space="0" w:sz="0" w:val="nil"/>
                <w:left w:space="0" w:sz="0" w:val="nil"/>
                <w:bottom w:space="0" w:sz="0" w:val="nil"/>
                <w:right w:space="0" w:sz="0" w:val="nil"/>
                <w:between w:space="0" w:sz="0" w:val="nil"/>
              </w:pBdr>
              <w:spacing w:line="360" w:lineRule="auto"/>
              <w:ind w:left="36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IMPACTO ESPERADO</w:t>
            </w:r>
            <w:r w:rsidDel="00000000" w:rsidR="00000000" w:rsidRPr="00000000">
              <w:rPr>
                <w:rtl w:val="0"/>
              </w:rPr>
            </w:r>
          </w:p>
          <w:p w:rsidR="00000000" w:rsidDel="00000000" w:rsidP="00000000" w:rsidRDefault="00000000" w:rsidRPr="00000000" w14:paraId="00000232">
            <w:pPr>
              <w:spacing w:after="12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impactos de este proyecto se describen en cuatro frentes: tecnológico y científico, operativo y de gestión académica, social y regional, y ambiental. Se plantean como cambios que el proyecto puede producir, no como resultados ya comprobados, y para cada uno se indica con qué evidencia de las fases de validación se va a verificar, como resume la tabla 3.</w:t>
            </w:r>
          </w:p>
          <w:p w:rsidR="00000000" w:rsidDel="00000000" w:rsidP="00000000" w:rsidRDefault="00000000" w:rsidRPr="00000000" w14:paraId="0000023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alinea con dos Objetivos de Desarrollo Sostenible de la Agenda 2030 (Naciones Unidas, 2015). Con el ODS 4, educación de calidad, porque ofrece a las instituciones una herramienta para organizar los incentivos académicos y apoyar la gestión escolar. Con el ODS 9, industria, innovación e infraestructura, porque desarrolla una solución de software con una arquitectura moderna y reutilizable en una región donde la capacidad de desarrollo tecnológico todavía es limitada.</w:t>
            </w:r>
          </w:p>
          <w:p w:rsidR="00000000" w:rsidDel="00000000" w:rsidP="00000000" w:rsidRDefault="00000000" w:rsidRPr="00000000" w14:paraId="00000234">
            <w:pPr>
              <w:keepNext w:val="1"/>
              <w:numPr>
                <w:ilvl w:val="0"/>
                <w:numId w:val="1"/>
              </w:numPr>
              <w:spacing w:after="80" w:before="160" w:line="36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 Impacto tecnológico y científico</w:t>
            </w:r>
            <w:r w:rsidDel="00000000" w:rsidR="00000000" w:rsidRPr="00000000">
              <w:rPr>
                <w:rtl w:val="0"/>
              </w:rPr>
            </w:r>
          </w:p>
          <w:p w:rsidR="00000000" w:rsidDel="00000000" w:rsidP="00000000" w:rsidRDefault="00000000" w:rsidRPr="00000000" w14:paraId="00000235">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deja un modelo de referencia, documentado y reutilizable, de una plataforma educativa con arquitectura modular, aislamiento lógico de la información entre instituciones y comunicación en tiempo real para las subastas. Esa base técnica puede ser aprovechada por otros semilleros y proyectos de la Universidad de La Guajira que necesiten construir sistemas transaccionales de este tipo.</w:t>
            </w:r>
          </w:p>
          <w:p w:rsidR="00000000" w:rsidDel="00000000" w:rsidP="00000000" w:rsidRDefault="00000000" w:rsidRPr="00000000" w14:paraId="00000236">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aporte científico principal está en el asistente de inteligencia artificial. Aquí el asistente no se limita a conversar: ejecuta acciones sobre el sistema, como consultar saldos, registrar recompensas o generar reportes, a través de funciones predefinidas, con verificación de permisos y confirmación en las operaciones sensibles. El proyecto documenta y mide en qué proporción de las solicitudes el asistente actúa correctamente y si los saldos se mantienen consistentes cuando varias ofertas llegan al mismo tiempo. Esa evidencia le sirve a otros equipos que quieran conectar modelos de lenguaje con sistemas que manejan datos y transacciones reales.</w:t>
            </w:r>
          </w:p>
          <w:p w:rsidR="00000000" w:rsidDel="00000000" w:rsidP="00000000" w:rsidRDefault="00000000" w:rsidRPr="00000000" w14:paraId="00000237">
            <w:pPr>
              <w:keepNext w:val="1"/>
              <w:numPr>
                <w:ilvl w:val="0"/>
                <w:numId w:val="1"/>
              </w:numPr>
              <w:spacing w:after="80" w:before="160" w:line="36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 Impacto operativo y de gestión académica</w:t>
            </w:r>
            <w:r w:rsidDel="00000000" w:rsidR="00000000" w:rsidRPr="00000000">
              <w:rPr>
                <w:rtl w:val="0"/>
              </w:rPr>
            </w:r>
          </w:p>
          <w:p w:rsidR="00000000" w:rsidDel="00000000" w:rsidP="00000000" w:rsidRDefault="00000000" w:rsidRPr="00000000" w14:paraId="00000238">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asignación de incentivos se lleva de forma manual, el docente dedica tiempo a registrar, calcular y reportar, y cada paso puede introducir errores. La plataforma reúne en un solo lugar la asignación de recompensas, su canje mediante subastas y los reportes institucionales. Se espera que esto disminuya el tiempo que los docentes dedican a tareas operativas, reduzca los errores de cálculo y permita que los directivos consulten información actualizada sin esperar a que alguien la compile.</w:t>
            </w:r>
          </w:p>
          <w:p w:rsidR="00000000" w:rsidDel="00000000" w:rsidP="00000000" w:rsidRDefault="00000000" w:rsidRPr="00000000" w14:paraId="00000239">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no mide horas ahorradas ni cambios en el comportamiento o el rendimiento de los estudiantes. El impacto que se evalúa recae en la gestión, y se verifica con dos fuentes: el cumplimiento de los requisitos funcionales y la percepción de productividad y efectividad que declaran los participantes en el cuestionario de aceptación.</w:t>
            </w:r>
          </w:p>
          <w:p w:rsidR="00000000" w:rsidDel="00000000" w:rsidP="00000000" w:rsidRDefault="00000000" w:rsidRPr="00000000" w14:paraId="0000023A">
            <w:pPr>
              <w:keepNext w:val="1"/>
              <w:numPr>
                <w:ilvl w:val="0"/>
                <w:numId w:val="1"/>
              </w:numPr>
              <w:spacing w:after="80" w:before="160" w:line="36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 Impacto social y regional</w:t>
            </w:r>
            <w:r w:rsidDel="00000000" w:rsidR="00000000" w:rsidRPr="00000000">
              <w:rPr>
                <w:rtl w:val="0"/>
              </w:rPr>
            </w:r>
          </w:p>
          <w:p w:rsidR="00000000" w:rsidDel="00000000" w:rsidP="00000000" w:rsidRDefault="00000000" w:rsidRPr="00000000" w14:paraId="0000023B">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Muchas instituciones de la región tienen dificultades para acceder a herramientas de gestión que se adapten a su realidad. La plataforma se apoya en componentes de código abierto, lo que reduce el costo de licenciamiento, y su código se liberará al finalizar el proyecto, como se detalla en la sección 10, de manera que otras instituciones puedan adoptarla o adaptarla. Con ello el proyecto contribuye a la transformación digital del sector educativo en La Guajira.</w:t>
            </w:r>
          </w:p>
          <w:p w:rsidR="00000000" w:rsidDel="00000000" w:rsidP="00000000" w:rsidRDefault="00000000" w:rsidRPr="00000000" w14:paraId="0000023C">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beneficiarios directos son los estudiantes, docentes y directivos de la institución que participe en la validación y la comunidad académica de la universidad. Los beneficiarios indirectos son las instituciones que luego reutilicen la solución. También se fortalece la formación de los investigadores, que trabajan con metodologías ágiles, arquitectura en la nube, pruebas de calidad y evaluación con usuarios, habilidades que amplían el capital humano disponible en el departamento.</w:t>
            </w:r>
          </w:p>
          <w:p w:rsidR="00000000" w:rsidDel="00000000" w:rsidP="00000000" w:rsidRDefault="00000000" w:rsidRPr="00000000" w14:paraId="0000023D">
            <w:pPr>
              <w:keepNext w:val="1"/>
              <w:numPr>
                <w:ilvl w:val="0"/>
                <w:numId w:val="1"/>
              </w:numPr>
              <w:spacing w:after="80" w:before="160" w:line="36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 Impacto ambiental</w:t>
            </w:r>
            <w:r w:rsidDel="00000000" w:rsidR="00000000" w:rsidRPr="00000000">
              <w:rPr>
                <w:rtl w:val="0"/>
              </w:rPr>
            </w:r>
          </w:p>
          <w:p w:rsidR="00000000" w:rsidDel="00000000" w:rsidP="00000000" w:rsidRDefault="00000000" w:rsidRPr="00000000" w14:paraId="0000023E">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tratarse de software, el impacto ambiental es indirecto y moderado. La digitalización del registro de incentivos y de los reportes disminuye el uso de papel y de formularios impresos en la administración escolar, en coherencia con las políticas institucionales de cero papel. No se mide con un indicador numérico: se documenta en los requisitos qué procesos pasan del papel a la plataforma.</w:t>
            </w:r>
          </w:p>
          <w:p w:rsidR="00000000" w:rsidDel="00000000" w:rsidP="00000000" w:rsidRDefault="00000000" w:rsidRPr="00000000" w14:paraId="0000023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3 resume cada impacto con su beneficiario y la evidencia con la que se verifica.</w:t>
            </w:r>
          </w:p>
          <w:p w:rsidR="00000000" w:rsidDel="00000000" w:rsidP="00000000" w:rsidRDefault="00000000" w:rsidRPr="00000000" w14:paraId="00000240">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3</w:t>
            </w:r>
            <w:r w:rsidDel="00000000" w:rsidR="00000000" w:rsidRPr="00000000">
              <w:rPr>
                <w:rtl w:val="0"/>
              </w:rPr>
            </w:r>
          </w:p>
          <w:p w:rsidR="00000000" w:rsidDel="00000000" w:rsidP="00000000" w:rsidRDefault="00000000" w:rsidRPr="00000000" w14:paraId="00000241">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Impactos esperados, beneficiarios y evidencia con la que se verifican</w:t>
            </w:r>
          </w:p>
          <w:p w:rsidR="00000000" w:rsidDel="00000000" w:rsidP="00000000" w:rsidRDefault="00000000" w:rsidRPr="00000000" w14:paraId="00000242">
            <w:pPr>
              <w:keepNext w:val="1"/>
              <w:spacing w:line="360" w:lineRule="auto"/>
              <w:ind w:left="720" w:firstLine="0"/>
              <w:rPr>
                <w:rFonts w:ascii="Times New Roman" w:cs="Times New Roman" w:eastAsia="Times New Roman" w:hAnsi="Times New Roman"/>
                <w:sz w:val="24"/>
                <w:szCs w:val="24"/>
              </w:rPr>
            </w:pPr>
            <w:r w:rsidDel="00000000" w:rsidR="00000000" w:rsidRPr="00000000">
              <w:rPr>
                <w:rtl w:val="0"/>
              </w:rPr>
            </w:r>
          </w:p>
          <w:sdt>
            <w:sdtPr>
              <w:lock w:val="contentLocked"/>
              <w:id w:val="1264548240"/>
              <w:tag w:val="goog_rdk_13"/>
            </w:sdtPr>
            <w:sdtContent>
              <w:tbl>
                <w:tblPr>
                  <w:tblStyle w:val="Table14"/>
                  <w:tblW w:w="868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1.5"/>
                  <w:gridCol w:w="2171.5"/>
                  <w:gridCol w:w="2171.5"/>
                  <w:gridCol w:w="2171.5"/>
                  <w:tblGridChange w:id="0">
                    <w:tblGrid>
                      <w:gridCol w:w="2171.5"/>
                      <w:gridCol w:w="2171.5"/>
                      <w:gridCol w:w="2171.5"/>
                      <w:gridCol w:w="2171.5"/>
                    </w:tblGrid>
                  </w:tblGridChange>
                </w:tblGrid>
                <w:tr>
                  <w:trPr>
                    <w:cantSplit w:val="0"/>
                    <w:tblHeader w:val="0"/>
                  </w:trPr>
                  <w:tc>
                    <w:tcPr>
                      <w:shd w:fill="d9d9d9" w:val="clear"/>
                    </w:tcPr>
                    <w:p w:rsidR="00000000" w:rsidDel="00000000" w:rsidP="00000000" w:rsidRDefault="00000000" w:rsidRPr="00000000" w14:paraId="000002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Impacto</w:t>
                      </w:r>
                      <w:r w:rsidDel="00000000" w:rsidR="00000000" w:rsidRPr="00000000">
                        <w:rPr>
                          <w:rtl w:val="0"/>
                        </w:rPr>
                      </w:r>
                    </w:p>
                  </w:tc>
                  <w:tc>
                    <w:tcPr>
                      <w:shd w:fill="d9d9d9" w:val="clear"/>
                    </w:tcPr>
                    <w:p w:rsidR="00000000" w:rsidDel="00000000" w:rsidP="00000000" w:rsidRDefault="00000000" w:rsidRPr="00000000" w14:paraId="000002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Cambio esperado</w:t>
                      </w:r>
                      <w:r w:rsidDel="00000000" w:rsidR="00000000" w:rsidRPr="00000000">
                        <w:rPr>
                          <w:rtl w:val="0"/>
                        </w:rPr>
                      </w:r>
                    </w:p>
                  </w:tc>
                  <w:tc>
                    <w:tcPr>
                      <w:shd w:fill="d9d9d9" w:val="clear"/>
                    </w:tcPr>
                    <w:p w:rsidR="00000000" w:rsidDel="00000000" w:rsidP="00000000" w:rsidRDefault="00000000" w:rsidRPr="00000000" w14:paraId="000002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Beneficiarios</w:t>
                      </w:r>
                      <w:r w:rsidDel="00000000" w:rsidR="00000000" w:rsidRPr="00000000">
                        <w:rPr>
                          <w:rtl w:val="0"/>
                        </w:rPr>
                      </w:r>
                    </w:p>
                  </w:tc>
                  <w:tc>
                    <w:tcPr>
                      <w:shd w:fill="d9d9d9" w:val="clear"/>
                    </w:tcPr>
                    <w:p w:rsidR="00000000" w:rsidDel="00000000" w:rsidP="00000000" w:rsidRDefault="00000000" w:rsidRPr="00000000" w14:paraId="000002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Evidencia de verificación</w:t>
                      </w:r>
                      <w:r w:rsidDel="00000000" w:rsidR="00000000" w:rsidRPr="00000000">
                        <w:rPr>
                          <w:rtl w:val="0"/>
                        </w:rPr>
                      </w:r>
                    </w:p>
                  </w:tc>
                </w:tr>
                <w:tr>
                  <w:trPr>
                    <w:cantSplit w:val="0"/>
                    <w:tblHeader w:val="0"/>
                  </w:trPr>
                  <w:tc>
                    <w:tcPr/>
                    <w:p w:rsidR="00000000" w:rsidDel="00000000" w:rsidP="00000000" w:rsidRDefault="00000000" w:rsidRPr="00000000" w14:paraId="0000024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Tecnológico y científico</w:t>
                      </w:r>
                      <w:r w:rsidDel="00000000" w:rsidR="00000000" w:rsidRPr="00000000">
                        <w:rPr>
                          <w:rtl w:val="0"/>
                        </w:rPr>
                      </w:r>
                    </w:p>
                  </w:tc>
                  <w:tc>
                    <w:tcPr/>
                    <w:p w:rsidR="00000000" w:rsidDel="00000000" w:rsidP="00000000" w:rsidRDefault="00000000" w:rsidRPr="00000000" w14:paraId="000002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Modelo reutilizable de plataforma educativa y evidencia sobre un asistente de IA que ejecuta acciones</w:t>
                      </w:r>
                      <w:r w:rsidDel="00000000" w:rsidR="00000000" w:rsidRPr="00000000">
                        <w:rPr>
                          <w:rtl w:val="0"/>
                        </w:rPr>
                      </w:r>
                    </w:p>
                  </w:tc>
                  <w:tc>
                    <w:tcPr/>
                    <w:p w:rsidR="00000000" w:rsidDel="00000000" w:rsidP="00000000" w:rsidRDefault="00000000" w:rsidRPr="00000000" w14:paraId="000002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Semilleros y grupos de la universidad; equipos que integren IA en sistemas transaccionales</w:t>
                      </w:r>
                      <w:r w:rsidDel="00000000" w:rsidR="00000000" w:rsidRPr="00000000">
                        <w:rPr>
                          <w:rtl w:val="0"/>
                        </w:rPr>
                      </w:r>
                    </w:p>
                  </w:tc>
                  <w:tc>
                    <w:tcPr/>
                    <w:p w:rsidR="00000000" w:rsidDel="00000000" w:rsidP="00000000" w:rsidRDefault="00000000" w:rsidRPr="00000000" w14:paraId="000002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solicitudes del asistente ejecutadas correctamente; inconsistencias de saldo; % de pruebas aprobadas</w:t>
                      </w:r>
                      <w:r w:rsidDel="00000000" w:rsidR="00000000" w:rsidRPr="00000000">
                        <w:rPr>
                          <w:rtl w:val="0"/>
                        </w:rPr>
                      </w:r>
                    </w:p>
                  </w:tc>
                </w:tr>
                <w:tr>
                  <w:trPr>
                    <w:cantSplit w:val="0"/>
                    <w:tblHeader w:val="0"/>
                  </w:trPr>
                  <w:tc>
                    <w:tcPr/>
                    <w:p w:rsidR="00000000" w:rsidDel="00000000" w:rsidP="00000000" w:rsidRDefault="00000000" w:rsidRPr="00000000" w14:paraId="000002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Operativo y de gestión académica</w:t>
                      </w:r>
                      <w:r w:rsidDel="00000000" w:rsidR="00000000" w:rsidRPr="00000000">
                        <w:rPr>
                          <w:rtl w:val="0"/>
                        </w:rPr>
                      </w:r>
                    </w:p>
                  </w:tc>
                  <w:tc>
                    <w:tcPr/>
                    <w:p w:rsidR="00000000" w:rsidDel="00000000" w:rsidP="00000000" w:rsidRDefault="00000000" w:rsidRPr="00000000" w14:paraId="000002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Asignación de recompensas, canje y reportes en un solo sistema, con menos tareas manuales y menos errores</w:t>
                      </w:r>
                      <w:r w:rsidDel="00000000" w:rsidR="00000000" w:rsidRPr="00000000">
                        <w:rPr>
                          <w:rtl w:val="0"/>
                        </w:rPr>
                      </w:r>
                    </w:p>
                  </w:tc>
                  <w:tc>
                    <w:tcPr/>
                    <w:p w:rsidR="00000000" w:rsidDel="00000000" w:rsidP="00000000" w:rsidRDefault="00000000" w:rsidRPr="00000000" w14:paraId="000002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Docentes y directivos docentes</w:t>
                      </w:r>
                      <w:r w:rsidDel="00000000" w:rsidR="00000000" w:rsidRPr="00000000">
                        <w:rPr>
                          <w:rtl w:val="0"/>
                        </w:rPr>
                      </w:r>
                    </w:p>
                  </w:tc>
                  <w:tc>
                    <w:tcPr/>
                    <w:p w:rsidR="00000000" w:rsidDel="00000000" w:rsidP="00000000" w:rsidRDefault="00000000" w:rsidRPr="00000000" w14:paraId="000002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de requisitos funcionales implementados; puntuación de productividad y efectividad en el cuestionario</w:t>
                      </w:r>
                      <w:r w:rsidDel="00000000" w:rsidR="00000000" w:rsidRPr="00000000">
                        <w:rPr>
                          <w:rtl w:val="0"/>
                        </w:rPr>
                      </w:r>
                    </w:p>
                  </w:tc>
                </w:tr>
                <w:tr>
                  <w:trPr>
                    <w:cantSplit w:val="0"/>
                    <w:tblHeader w:val="0"/>
                  </w:trPr>
                  <w:tc>
                    <w:tcPr/>
                    <w:p w:rsidR="00000000" w:rsidDel="00000000" w:rsidP="00000000" w:rsidRDefault="00000000" w:rsidRPr="00000000" w14:paraId="000002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Social y regional</w:t>
                      </w:r>
                      <w:r w:rsidDel="00000000" w:rsidR="00000000" w:rsidRPr="00000000">
                        <w:rPr>
                          <w:rtl w:val="0"/>
                        </w:rPr>
                      </w:r>
                    </w:p>
                  </w:tc>
                  <w:tc>
                    <w:tcPr/>
                    <w:p w:rsidR="00000000" w:rsidDel="00000000" w:rsidP="00000000" w:rsidRDefault="00000000" w:rsidRPr="00000000" w14:paraId="000002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Herramienta reutilizable que reduce el costo de licenciamiento y fortalece la formación de investigadores</w:t>
                      </w:r>
                      <w:r w:rsidDel="00000000" w:rsidR="00000000" w:rsidRPr="00000000">
                        <w:rPr>
                          <w:rtl w:val="0"/>
                        </w:rPr>
                      </w:r>
                    </w:p>
                  </w:tc>
                  <w:tc>
                    <w:tcPr/>
                    <w:p w:rsidR="00000000" w:rsidDel="00000000" w:rsidP="00000000" w:rsidRDefault="00000000" w:rsidRPr="00000000" w14:paraId="000002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Estudiantes, docentes, instituciones de la región y comunidad académica</w:t>
                      </w:r>
                      <w:r w:rsidDel="00000000" w:rsidR="00000000" w:rsidRPr="00000000">
                        <w:rPr>
                          <w:rtl w:val="0"/>
                        </w:rPr>
                      </w:r>
                    </w:p>
                  </w:tc>
                  <w:tc>
                    <w:tcPr/>
                    <w:p w:rsidR="00000000" w:rsidDel="00000000" w:rsidP="00000000" w:rsidRDefault="00000000" w:rsidRPr="00000000" w14:paraId="000002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Puntuaciones de utilidad y facilidad de uso percibidas; código liberado</w:t>
                      </w:r>
                      <w:r w:rsidDel="00000000" w:rsidR="00000000" w:rsidRPr="00000000">
                        <w:rPr>
                          <w:rtl w:val="0"/>
                        </w:rPr>
                      </w:r>
                    </w:p>
                  </w:tc>
                </w:tr>
                <w:tr>
                  <w:trPr>
                    <w:cantSplit w:val="0"/>
                    <w:tblHeader w:val="0"/>
                  </w:trPr>
                  <w:tc>
                    <w:tcPr/>
                    <w:p w:rsidR="00000000" w:rsidDel="00000000" w:rsidP="00000000" w:rsidRDefault="00000000" w:rsidRPr="00000000" w14:paraId="000002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Ambiental</w:t>
                      </w:r>
                      <w:r w:rsidDel="00000000" w:rsidR="00000000" w:rsidRPr="00000000">
                        <w:rPr>
                          <w:rtl w:val="0"/>
                        </w:rPr>
                      </w:r>
                    </w:p>
                  </w:tc>
                  <w:tc>
                    <w:tcPr/>
                    <w:p w:rsidR="00000000" w:rsidDel="00000000" w:rsidP="00000000" w:rsidRDefault="00000000" w:rsidRPr="00000000" w14:paraId="000002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Menor uso de papel en el registro de incentivos y en los reportes</w:t>
                      </w:r>
                      <w:r w:rsidDel="00000000" w:rsidR="00000000" w:rsidRPr="00000000">
                        <w:rPr>
                          <w:rtl w:val="0"/>
                        </w:rPr>
                      </w:r>
                    </w:p>
                  </w:tc>
                  <w:tc>
                    <w:tcPr/>
                    <w:p w:rsidR="00000000" w:rsidDel="00000000" w:rsidP="00000000" w:rsidRDefault="00000000" w:rsidRPr="00000000" w14:paraId="000002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Instituciones educativas</w:t>
                      </w:r>
                      <w:r w:rsidDel="00000000" w:rsidR="00000000" w:rsidRPr="00000000">
                        <w:rPr>
                          <w:rtl w:val="0"/>
                        </w:rPr>
                      </w:r>
                    </w:p>
                  </w:tc>
                  <w:tc>
                    <w:tcPr/>
                    <w:p w:rsidR="00000000" w:rsidDel="00000000" w:rsidP="00000000" w:rsidRDefault="00000000" w:rsidRPr="00000000" w14:paraId="000002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Lista de procesos que pasan del papel a la plataforma, en los requisitos</w:t>
                      </w:r>
                      <w:r w:rsidDel="00000000" w:rsidR="00000000" w:rsidRPr="00000000">
                        <w:rPr>
                          <w:rtl w:val="0"/>
                        </w:rPr>
                      </w:r>
                    </w:p>
                  </w:tc>
                </w:tr>
              </w:tbl>
            </w:sdtContent>
          </w:sdt>
          <w:p w:rsidR="00000000" w:rsidDel="00000000" w:rsidP="00000000" w:rsidRDefault="00000000" w:rsidRPr="00000000" w14:paraId="00000257">
            <w:pPr>
              <w:keepNext w:val="1"/>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keepNext w:val="1"/>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5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spacing w:line="360" w:lineRule="auto"/>
        <w:jc w:val="both"/>
        <w:rPr>
          <w:rFonts w:ascii="Times New Roman" w:cs="Times New Roman" w:eastAsia="Times New Roman" w:hAnsi="Times New Roman"/>
        </w:rPr>
      </w:pPr>
      <w:r w:rsidDel="00000000" w:rsidR="00000000" w:rsidRPr="00000000">
        <w:rPr>
          <w:rtl w:val="0"/>
        </w:rPr>
      </w:r>
    </w:p>
    <w:tbl>
      <w:tblPr>
        <w:tblStyle w:val="Table15"/>
        <w:tblW w:w="9600.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0"/>
        <w:tblGridChange w:id="0">
          <w:tblGrid>
            <w:gridCol w:w="9600"/>
          </w:tblGrid>
        </w:tblGridChange>
      </w:tblGrid>
      <w:tr>
        <w:trPr>
          <w:cantSplit w:val="0"/>
          <w:trHeight w:val="18.964843749999964" w:hRule="atLeast"/>
          <w:tblHeader w:val="0"/>
        </w:trPr>
        <w:tc>
          <w:tcPr/>
          <w:p w:rsidR="00000000" w:rsidDel="00000000" w:rsidP="00000000" w:rsidRDefault="00000000" w:rsidRPr="00000000" w14:paraId="0000025C">
            <w:pPr>
              <w:numPr>
                <w:ilvl w:val="0"/>
                <w:numId w:val="6"/>
              </w:numPr>
              <w:pBdr>
                <w:top w:space="0" w:sz="0" w:val="nil"/>
                <w:left w:space="0" w:sz="0" w:val="nil"/>
                <w:bottom w:space="0" w:sz="0" w:val="nil"/>
                <w:right w:space="0" w:sz="0" w:val="nil"/>
                <w:between w:space="0" w:sz="0" w:val="nil"/>
              </w:pBdr>
              <w:spacing w:line="360" w:lineRule="auto"/>
              <w:ind w:left="360" w:hanging="360"/>
              <w:jc w:val="both"/>
              <w:rPr/>
            </w:pPr>
            <w:r w:rsidDel="00000000" w:rsidR="00000000" w:rsidRPr="00000000">
              <w:rPr>
                <w:rFonts w:ascii="Times New Roman" w:cs="Times New Roman" w:eastAsia="Times New Roman" w:hAnsi="Times New Roman"/>
                <w:b w:val="1"/>
                <w:bCs w:val="1"/>
                <w:color w:val="000000"/>
                <w:rtl w:val="0"/>
              </w:rPr>
              <w:t xml:space="preserve">PRODUCTOS RESULTADOS DE LA </w:t>
            </w:r>
            <w:r w:rsidDel="00000000" w:rsidR="00000000" w:rsidRPr="00000000">
              <w:rPr>
                <w:rFonts w:ascii="Times New Roman" w:cs="Times New Roman" w:eastAsia="Times New Roman" w:hAnsi="Times New Roman"/>
                <w:b w:val="1"/>
                <w:bCs w:val="1"/>
                <w:rtl w:val="0"/>
              </w:rPr>
              <w:t xml:space="preserve">INVESTIGACIÓN</w:t>
            </w:r>
          </w:p>
          <w:p w:rsidR="00000000" w:rsidDel="00000000" w:rsidP="00000000" w:rsidRDefault="00000000" w:rsidRPr="00000000" w14:paraId="0000025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productos son los entregables técnicos y documentales que resultan de las fases de la metodología. Se agrupan según las tipologías del modelo de medición de grupos de investigación del Ministerio de Ciencia, Tecnología e Innovación (Minciencias, 2021). Cada uno tiene una forma de verificarse y una fase en la que se obtiene, como muestra la tabla 4.</w:t>
            </w:r>
          </w:p>
          <w:p w:rsidR="00000000" w:rsidDel="00000000" w:rsidP="00000000" w:rsidRDefault="00000000" w:rsidRPr="00000000" w14:paraId="0000025E">
            <w:pPr>
              <w:keepNext w:val="1"/>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4</w:t>
            </w:r>
            <w:r w:rsidDel="00000000" w:rsidR="00000000" w:rsidRPr="00000000">
              <w:rPr>
                <w:rtl w:val="0"/>
              </w:rPr>
            </w:r>
          </w:p>
          <w:p w:rsidR="00000000" w:rsidDel="00000000" w:rsidP="00000000" w:rsidRDefault="00000000" w:rsidRPr="00000000" w14:paraId="0000025F">
            <w:pPr>
              <w:keepNext w:val="1"/>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Productos esperados según la tipología de Minciencias, verificación y fase</w:t>
            </w:r>
          </w:p>
          <w:p w:rsidR="00000000" w:rsidDel="00000000" w:rsidP="00000000" w:rsidRDefault="00000000" w:rsidRPr="00000000" w14:paraId="00000260">
            <w:pPr>
              <w:keepNext w:val="1"/>
              <w:spacing w:after="0" w:line="360" w:lineRule="auto"/>
              <w:rPr>
                <w:rFonts w:ascii="Times New Roman" w:cs="Times New Roman" w:eastAsia="Times New Roman" w:hAnsi="Times New Roman"/>
                <w:sz w:val="24"/>
                <w:szCs w:val="24"/>
              </w:rPr>
            </w:pPr>
            <w:r w:rsidDel="00000000" w:rsidR="00000000" w:rsidRPr="00000000">
              <w:rPr>
                <w:rtl w:val="0"/>
              </w:rPr>
            </w:r>
          </w:p>
          <w:sdt>
            <w:sdtPr>
              <w:lock w:val="contentLocked"/>
              <w:id w:val="1919706324"/>
              <w:tag w:val="goog_rdk_14"/>
            </w:sdtPr>
            <w:sdtContent>
              <w:tbl>
                <w:tblPr>
                  <w:tblStyle w:val="Table16"/>
                  <w:tblW w:w="9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0"/>
                  <w:gridCol w:w="2350"/>
                  <w:gridCol w:w="2350"/>
                  <w:gridCol w:w="2350"/>
                  <w:tblGridChange w:id="0">
                    <w:tblGrid>
                      <w:gridCol w:w="2350"/>
                      <w:gridCol w:w="2350"/>
                      <w:gridCol w:w="2350"/>
                      <w:gridCol w:w="2350"/>
                    </w:tblGrid>
                  </w:tblGridChange>
                </w:tblGrid>
                <w:tr>
                  <w:trPr>
                    <w:cantSplit w:val="0"/>
                    <w:tblHeader w:val="0"/>
                  </w:trPr>
                  <w:tc>
                    <w:tcPr>
                      <w:shd w:fill="d9d9d9" w:val="clear"/>
                    </w:tcPr>
                    <w:p w:rsidR="00000000" w:rsidDel="00000000" w:rsidP="00000000" w:rsidRDefault="00000000" w:rsidRPr="00000000" w14:paraId="000002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Tipología</w:t>
                      </w:r>
                      <w:r w:rsidDel="00000000" w:rsidR="00000000" w:rsidRPr="00000000">
                        <w:rPr>
                          <w:rtl w:val="0"/>
                        </w:rPr>
                      </w:r>
                    </w:p>
                  </w:tc>
                  <w:tc>
                    <w:tcPr>
                      <w:shd w:fill="d9d9d9" w:val="clear"/>
                    </w:tcPr>
                    <w:p w:rsidR="00000000" w:rsidDel="00000000" w:rsidP="00000000" w:rsidRDefault="00000000" w:rsidRPr="00000000" w14:paraId="000002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Producto</w:t>
                      </w:r>
                      <w:r w:rsidDel="00000000" w:rsidR="00000000" w:rsidRPr="00000000">
                        <w:rPr>
                          <w:rtl w:val="0"/>
                        </w:rPr>
                      </w:r>
                    </w:p>
                  </w:tc>
                  <w:tc>
                    <w:tcPr>
                      <w:shd w:fill="d9d9d9" w:val="clear"/>
                    </w:tcPr>
                    <w:p w:rsidR="00000000" w:rsidDel="00000000" w:rsidP="00000000" w:rsidRDefault="00000000" w:rsidRPr="00000000" w14:paraId="000002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Verificación</w:t>
                      </w:r>
                      <w:r w:rsidDel="00000000" w:rsidR="00000000" w:rsidRPr="00000000">
                        <w:rPr>
                          <w:rtl w:val="0"/>
                        </w:rPr>
                      </w:r>
                    </w:p>
                  </w:tc>
                  <w:tc>
                    <w:tcPr>
                      <w:shd w:fill="d9d9d9" w:val="clear"/>
                    </w:tcPr>
                    <w:p w:rsidR="00000000" w:rsidDel="00000000" w:rsidP="00000000" w:rsidRDefault="00000000" w:rsidRPr="00000000" w14:paraId="000002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Fase</w:t>
                      </w:r>
                      <w:r w:rsidDel="00000000" w:rsidR="00000000" w:rsidRPr="00000000">
                        <w:rPr>
                          <w:rtl w:val="0"/>
                        </w:rPr>
                      </w:r>
                    </w:p>
                  </w:tc>
                </w:tr>
                <w:tr>
                  <w:trPr>
                    <w:cantSplit w:val="0"/>
                    <w:tblHeader w:val="0"/>
                  </w:trPr>
                  <w:tc>
                    <w:tcPr/>
                    <w:p w:rsidR="00000000" w:rsidDel="00000000" w:rsidP="00000000" w:rsidRDefault="00000000" w:rsidRPr="00000000" w14:paraId="000002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Generación de nuevo conocimiento</w:t>
                      </w:r>
                      <w:r w:rsidDel="00000000" w:rsidR="00000000" w:rsidRPr="00000000">
                        <w:rPr>
                          <w:rtl w:val="0"/>
                        </w:rPr>
                      </w:r>
                    </w:p>
                  </w:tc>
                  <w:tc>
                    <w:tcPr/>
                    <w:p w:rsidR="00000000" w:rsidDel="00000000" w:rsidP="00000000" w:rsidRDefault="00000000" w:rsidRPr="00000000" w14:paraId="000002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Informe final de investigación</w:t>
                      </w:r>
                      <w:r w:rsidDel="00000000" w:rsidR="00000000" w:rsidRPr="00000000">
                        <w:rPr>
                          <w:rtl w:val="0"/>
                        </w:rPr>
                      </w:r>
                    </w:p>
                  </w:tc>
                  <w:tc>
                    <w:tcPr/>
                    <w:p w:rsidR="00000000" w:rsidDel="00000000" w:rsidP="00000000" w:rsidRDefault="00000000" w:rsidRPr="00000000" w14:paraId="000002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Documento aprobado por el director</w:t>
                      </w:r>
                      <w:r w:rsidDel="00000000" w:rsidR="00000000" w:rsidRPr="00000000">
                        <w:rPr>
                          <w:rtl w:val="0"/>
                        </w:rPr>
                      </w:r>
                    </w:p>
                  </w:tc>
                  <w:tc>
                    <w:tcPr/>
                    <w:p w:rsidR="00000000" w:rsidDel="00000000" w:rsidP="00000000" w:rsidRDefault="00000000" w:rsidRPr="00000000" w14:paraId="000002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2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Desarrollo tecnológico e innovación</w:t>
                      </w:r>
                      <w:r w:rsidDel="00000000" w:rsidR="00000000" w:rsidRPr="00000000">
                        <w:rPr>
                          <w:rtl w:val="0"/>
                        </w:rPr>
                      </w:r>
                    </w:p>
                  </w:tc>
                  <w:tc>
                    <w:tcPr/>
                    <w:p w:rsidR="00000000" w:rsidDel="00000000" w:rsidP="00000000" w:rsidRDefault="00000000" w:rsidRPr="00000000" w14:paraId="000002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Plataforma web funcional, código fuente, documentación de la API, manuales y informe de pruebas</w:t>
                      </w:r>
                      <w:r w:rsidDel="00000000" w:rsidR="00000000" w:rsidRPr="00000000">
                        <w:rPr>
                          <w:rtl w:val="0"/>
                        </w:rPr>
                      </w:r>
                    </w:p>
                  </w:tc>
                  <w:tc>
                    <w:tcPr/>
                    <w:p w:rsidR="00000000" w:rsidDel="00000000" w:rsidP="00000000" w:rsidRDefault="00000000" w:rsidRPr="00000000" w14:paraId="000002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Repositorio con el código; informe de pruebas con los resultados de la validación</w:t>
                      </w:r>
                      <w:r w:rsidDel="00000000" w:rsidR="00000000" w:rsidRPr="00000000">
                        <w:rPr>
                          <w:rtl w:val="0"/>
                        </w:rPr>
                      </w:r>
                    </w:p>
                  </w:tc>
                  <w:tc>
                    <w:tcPr/>
                    <w:p w:rsidR="00000000" w:rsidDel="00000000" w:rsidP="00000000" w:rsidRDefault="00000000" w:rsidRPr="00000000" w14:paraId="000002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 a 5</w:t>
                      </w:r>
                      <w:r w:rsidDel="00000000" w:rsidR="00000000" w:rsidRPr="00000000">
                        <w:rPr>
                          <w:rtl w:val="0"/>
                        </w:rPr>
                      </w:r>
                    </w:p>
                  </w:tc>
                </w:tr>
                <w:tr>
                  <w:trPr>
                    <w:cantSplit w:val="0"/>
                    <w:tblHeader w:val="0"/>
                  </w:trPr>
                  <w:tc>
                    <w:tcPr/>
                    <w:p w:rsidR="00000000" w:rsidDel="00000000" w:rsidP="00000000" w:rsidRDefault="00000000" w:rsidRPr="00000000" w14:paraId="000002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Apropiación social del conocimiento</w:t>
                      </w:r>
                      <w:r w:rsidDel="00000000" w:rsidR="00000000" w:rsidRPr="00000000">
                        <w:rPr>
                          <w:rtl w:val="0"/>
                        </w:rPr>
                      </w:r>
                    </w:p>
                  </w:tc>
                  <w:tc>
                    <w:tcPr/>
                    <w:p w:rsidR="00000000" w:rsidDel="00000000" w:rsidP="00000000" w:rsidRDefault="00000000" w:rsidRPr="00000000" w14:paraId="000002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Video demostrativo, socialización de resultados y código liberado con licencia libre</w:t>
                      </w:r>
                      <w:r w:rsidDel="00000000" w:rsidR="00000000" w:rsidRPr="00000000">
                        <w:rPr>
                          <w:rtl w:val="0"/>
                        </w:rPr>
                      </w:r>
                    </w:p>
                  </w:tc>
                  <w:tc>
                    <w:tcPr/>
                    <w:p w:rsidR="00000000" w:rsidDel="00000000" w:rsidP="00000000" w:rsidRDefault="00000000" w:rsidRPr="00000000" w14:paraId="000002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Video publicado; acta o registro de la socialización; repositorio público</w:t>
                      </w:r>
                      <w:r w:rsidDel="00000000" w:rsidR="00000000" w:rsidRPr="00000000">
                        <w:rPr>
                          <w:rtl w:val="0"/>
                        </w:rPr>
                      </w:r>
                    </w:p>
                  </w:tc>
                  <w:tc>
                    <w:tcPr/>
                    <w:p w:rsidR="00000000" w:rsidDel="00000000" w:rsidP="00000000" w:rsidRDefault="00000000" w:rsidRPr="00000000" w14:paraId="000002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2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Formación de recurso humano en CTeI</w:t>
                      </w:r>
                      <w:r w:rsidDel="00000000" w:rsidR="00000000" w:rsidRPr="00000000">
                        <w:rPr>
                          <w:rtl w:val="0"/>
                        </w:rPr>
                      </w:r>
                    </w:p>
                  </w:tc>
                  <w:tc>
                    <w:tcPr/>
                    <w:p w:rsidR="00000000" w:rsidDel="00000000" w:rsidP="00000000" w:rsidRDefault="00000000" w:rsidRPr="00000000" w14:paraId="000002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Trabajo de grado sustentado y participación en el grupo de investigación</w:t>
                      </w:r>
                      <w:r w:rsidDel="00000000" w:rsidR="00000000" w:rsidRPr="00000000">
                        <w:rPr>
                          <w:rtl w:val="0"/>
                        </w:rPr>
                      </w:r>
                    </w:p>
                  </w:tc>
                  <w:tc>
                    <w:tcPr/>
                    <w:p w:rsidR="00000000" w:rsidDel="00000000" w:rsidP="00000000" w:rsidRDefault="00000000" w:rsidRPr="00000000" w14:paraId="000002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Acta de sustentación; vinculación al grupo</w:t>
                      </w:r>
                      <w:r w:rsidDel="00000000" w:rsidR="00000000" w:rsidRPr="00000000">
                        <w:rPr>
                          <w:rtl w:val="0"/>
                        </w:rPr>
                      </w:r>
                    </w:p>
                  </w:tc>
                  <w:tc>
                    <w:tcPr/>
                    <w:p w:rsidR="00000000" w:rsidDel="00000000" w:rsidP="00000000" w:rsidRDefault="00000000" w:rsidRPr="00000000" w14:paraId="000002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r>
              </w:tbl>
            </w:sdtContent>
          </w:sdt>
          <w:p w:rsidR="00000000" w:rsidDel="00000000" w:rsidP="00000000" w:rsidRDefault="00000000" w:rsidRPr="00000000" w14:paraId="00000275">
            <w:pPr>
              <w:keepNext w:val="1"/>
              <w:numPr>
                <w:ilvl w:val="0"/>
                <w:numId w:val="9"/>
              </w:numPr>
              <w:spacing w:after="80" w:before="16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Productos de generación de nuevo conocimiento</w:t>
            </w:r>
            <w:r w:rsidDel="00000000" w:rsidR="00000000" w:rsidRPr="00000000">
              <w:rPr>
                <w:rtl w:val="0"/>
              </w:rPr>
            </w:r>
          </w:p>
          <w:p w:rsidR="00000000" w:rsidDel="00000000" w:rsidP="00000000" w:rsidRDefault="00000000" w:rsidRPr="00000000" w14:paraId="00000276">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final de investigación, que corresponde al trabajo de grado. Documenta el diseño de la arquitectura, la integración del asistente de inteligencia artificial con ejecución de acciones y los resultados de la validación técnica y de aceptación tecnológica. Se obtiene en la fase 5.</w:t>
            </w:r>
          </w:p>
          <w:p w:rsidR="00000000" w:rsidDel="00000000" w:rsidP="00000000" w:rsidRDefault="00000000" w:rsidRPr="00000000" w14:paraId="00000277">
            <w:pPr>
              <w:keepNext w:val="1"/>
              <w:numPr>
                <w:ilvl w:val="0"/>
                <w:numId w:val="9"/>
              </w:numPr>
              <w:spacing w:after="80" w:before="16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Productos de desarrollo tecnológico e innovación</w:t>
            </w:r>
            <w:r w:rsidDel="00000000" w:rsidR="00000000" w:rsidRPr="00000000">
              <w:rPr>
                <w:rtl w:val="0"/>
              </w:rPr>
            </w:r>
          </w:p>
          <w:p w:rsidR="00000000" w:rsidDel="00000000" w:rsidP="00000000" w:rsidRDefault="00000000" w:rsidRPr="00000000" w14:paraId="00000278">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Plataforma web funcional, validada con usuarios, con aislamiento lógico entre instituciones, subastas en tiempo real y asistente de inteligencia artificial. Con ella se entregan el código fuente organizado en un repositorio, la documentación de la API, el manual técnico, el manual de usuario, el plan de pruebas y el informe de pruebas. Se obtiene entre las fases 3 y 5.</w:t>
            </w:r>
          </w:p>
          <w:p w:rsidR="00000000" w:rsidDel="00000000" w:rsidP="00000000" w:rsidRDefault="00000000" w:rsidRPr="00000000" w14:paraId="00000279">
            <w:pPr>
              <w:keepNext w:val="1"/>
              <w:numPr>
                <w:ilvl w:val="0"/>
                <w:numId w:val="9"/>
              </w:numPr>
              <w:spacing w:after="80" w:before="16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Productos de apropiación social del conocimiento</w:t>
            </w:r>
            <w:r w:rsidDel="00000000" w:rsidR="00000000" w:rsidRPr="00000000">
              <w:rPr>
                <w:rtl w:val="0"/>
              </w:rPr>
            </w:r>
          </w:p>
          <w:p w:rsidR="00000000" w:rsidDel="00000000" w:rsidP="00000000" w:rsidRDefault="00000000" w:rsidRPr="00000000" w14:paraId="0000027A">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demostrativo del uso de la plataforma y de su infraestructura técnica, y socialización de los resultados ante la comunidad universitaria y la institución participante. Además se libera el código fuente principal bajo una licencia de software libre, por ejemplo la licencia MIT, que se define con el director y el grupo de investigación antes de publicarlo. Se obtiene en la fase 5.</w:t>
            </w:r>
          </w:p>
          <w:p w:rsidR="00000000" w:rsidDel="00000000" w:rsidP="00000000" w:rsidRDefault="00000000" w:rsidRPr="00000000" w14:paraId="0000027B">
            <w:pPr>
              <w:keepNext w:val="1"/>
              <w:numPr>
                <w:ilvl w:val="0"/>
                <w:numId w:val="9"/>
              </w:numPr>
              <w:spacing w:after="80" w:before="16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Productos de formación de recurso humano en CTeI</w:t>
            </w:r>
            <w:r w:rsidDel="00000000" w:rsidR="00000000" w:rsidRPr="00000000">
              <w:rPr>
                <w:rtl w:val="0"/>
              </w:rPr>
            </w:r>
          </w:p>
          <w:p w:rsidR="00000000" w:rsidDel="00000000" w:rsidP="00000000" w:rsidRDefault="00000000" w:rsidRPr="00000000" w14:paraId="0000027C">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Trabajo de grado sustentado y aprobado para optar al título de Ingeniero de Sistemas, y participación de los estudiantes en las actividades del grupo de investigación Universidad Paralela durante el desarrollo del proyecto. Se obtiene en la fase 5.</w:t>
            </w:r>
          </w:p>
        </w:tc>
      </w:tr>
    </w:tbl>
    <w:p w:rsidR="00000000" w:rsidDel="00000000" w:rsidP="00000000" w:rsidRDefault="00000000" w:rsidRPr="00000000" w14:paraId="0000027D">
      <w:pPr>
        <w:spacing w:line="360" w:lineRule="auto"/>
        <w:jc w:val="both"/>
        <w:rPr>
          <w:rFonts w:ascii="Times New Roman" w:cs="Times New Roman" w:eastAsia="Times New Roman" w:hAnsi="Times New Roman"/>
        </w:rPr>
      </w:pPr>
      <w:r w:rsidDel="00000000" w:rsidR="00000000" w:rsidRPr="00000000">
        <w:rPr>
          <w:rtl w:val="0"/>
        </w:rPr>
      </w:r>
    </w:p>
    <w:tbl>
      <w:tblPr>
        <w:tblStyle w:val="Table17"/>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27E">
            <w:pPr>
              <w:numPr>
                <w:ilvl w:val="0"/>
                <w:numId w:val="6"/>
              </w:numPr>
              <w:pBdr>
                <w:top w:space="0" w:sz="0" w:val="nil"/>
                <w:left w:space="0" w:sz="0" w:val="nil"/>
                <w:bottom w:space="0" w:sz="0" w:val="nil"/>
                <w:right w:space="0" w:sz="0" w:val="nil"/>
                <w:between w:space="0" w:sz="0" w:val="nil"/>
              </w:pBdr>
              <w:spacing w:line="360" w:lineRule="auto"/>
              <w:ind w:left="36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ESTRATEGIA DE COMUNICACIÓN</w:t>
            </w:r>
          </w:p>
          <w:p w:rsidR="00000000" w:rsidDel="00000000" w:rsidP="00000000" w:rsidRDefault="00000000" w:rsidRPr="00000000" w14:paraId="0000027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estrategia de comunicación define a quién se le van a contar los resultados del proyecto, qué se le va a contar, por qué medio y en qué momento. Su propósito es que los desarrollos tecnológicos, las decisiones de arquitectura y los hallazgos de la validación lleguen a las personas que pueden usarlos o aprender de ellos, con énfasis en la comunidad de la Universidad de La Guajira y en la institución educativa que participe en la validación.</w:t>
            </w:r>
          </w:p>
          <w:p w:rsidR="00000000" w:rsidDel="00000000" w:rsidP="00000000" w:rsidRDefault="00000000" w:rsidRPr="00000000" w14:paraId="00000280">
            <w:pPr>
              <w:keepNext w:val="1"/>
              <w:numPr>
                <w:ilvl w:val="0"/>
                <w:numId w:val="8"/>
              </w:numPr>
              <w:spacing w:after="80" w:before="160" w:line="36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Públicos y mensajes</w:t>
            </w:r>
            <w:r w:rsidDel="00000000" w:rsidR="00000000" w:rsidRPr="00000000">
              <w:rPr>
                <w:rtl w:val="0"/>
              </w:rPr>
            </w:r>
          </w:p>
          <w:p w:rsidR="00000000" w:rsidDel="00000000" w:rsidP="00000000" w:rsidRDefault="00000000" w:rsidRPr="00000000" w14:paraId="00000281">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identifican tres públicos. El primero es la comunidad académica de la universidad, formada por directivos del programa, docentes, el director del trabajo, el grupo de investigación y los estudiantes de semilleros. A ellos se les comunica el rigor del proceso y los resultados de la validación. El segundo es la comunidad educativa que participó en las pruebas, es decir, los docentes, directivos docentes y estudiantes de la institución local, a quienes se les muestra qué hace la plataforma y qué se encontró en las sesiones de uso. El tercero es la comunidad tecnológica y de desarrolladores, tanto de la universidad como de la región, interesada en reutilizar o mejorar la solución, a quien se le entrega el código y la documentación para que lo audite y lo adapte.</w:t>
            </w:r>
          </w:p>
          <w:p w:rsidR="00000000" w:rsidDel="00000000" w:rsidP="00000000" w:rsidRDefault="00000000" w:rsidRPr="00000000" w14:paraId="00000282">
            <w:pPr>
              <w:keepNext w:val="1"/>
              <w:numPr>
                <w:ilvl w:val="0"/>
                <w:numId w:val="8"/>
              </w:numPr>
              <w:spacing w:after="80" w:before="160" w:line="36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Acciones y medios</w:t>
            </w:r>
            <w:r w:rsidDel="00000000" w:rsidR="00000000" w:rsidRPr="00000000">
              <w:rPr>
                <w:rtl w:val="0"/>
              </w:rPr>
            </w:r>
          </w:p>
          <w:p w:rsidR="00000000" w:rsidDel="00000000" w:rsidP="00000000" w:rsidRDefault="00000000" w:rsidRPr="00000000" w14:paraId="00000283">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Ámbito académico-institucional.</w:t>
            </w:r>
            <w:r w:rsidDel="00000000" w:rsidR="00000000" w:rsidRPr="00000000">
              <w:rPr>
                <w:rFonts w:ascii="Times New Roman" w:cs="Times New Roman" w:eastAsia="Times New Roman" w:hAnsi="Times New Roman"/>
                <w:sz w:val="24"/>
                <w:szCs w:val="24"/>
                <w:rtl w:val="0"/>
              </w:rPr>
              <w:t xml:space="preserve"> El proyecto se sustenta formalmente como trabajo de grado en el programa de Ingeniería de Sistemas, con el respaldo del grupo de investigación Universidad Paralela. Antes de la sustentación se presentan avances ante el director en reuniones de seguimiento, y los resultados se exponen en eventos internos de divulgación científica y tecnológica, como las jornadas de semilleros de investigación, las ferias de proyectos de ingeniería o los encuentros de innovación de la universidad.</w:t>
            </w:r>
          </w:p>
          <w:p w:rsidR="00000000" w:rsidDel="00000000" w:rsidP="00000000" w:rsidRDefault="00000000" w:rsidRPr="00000000" w14:paraId="00000284">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Divulgación y demostración.</w:t>
            </w:r>
            <w:r w:rsidDel="00000000" w:rsidR="00000000" w:rsidRPr="00000000">
              <w:rPr>
                <w:rFonts w:ascii="Times New Roman" w:cs="Times New Roman" w:eastAsia="Times New Roman" w:hAnsi="Times New Roman"/>
                <w:sz w:val="24"/>
                <w:szCs w:val="24"/>
                <w:rtl w:val="0"/>
              </w:rPr>
              <w:t xml:space="preserve"> La plataforma se comunica mostrándola funcionando. Se produce un video explicativo breve sobre su uso, su arquitectura y sus beneficios, que se publica en un canal de acceso libre. También se hacen sesiones de demostración dirigidas a la comunidad universitaria, en las que se recorren los flujos principales: asignación de recompensas, subasta en tiempo real y consulta de reportes con ayuda del asistente de inteligencia artificial. Con la institución participante se hace una sesión de devolución de resultados, en la que se explica con lenguaje sencillo lo que se observó durante las pruebas y se escuchan sus comentarios. La institución se identifica solo como institución educativa local, según lo establecido en la metodología, y no se divulgan datos que permitan reconocer a los participantes.</w:t>
            </w:r>
          </w:p>
          <w:p w:rsidR="00000000" w:rsidDel="00000000" w:rsidP="00000000" w:rsidRDefault="00000000" w:rsidRPr="00000000" w14:paraId="00000285">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Transferencia tecnológica.</w:t>
            </w:r>
            <w:r w:rsidDel="00000000" w:rsidR="00000000" w:rsidRPr="00000000">
              <w:rPr>
                <w:rFonts w:ascii="Times New Roman" w:cs="Times New Roman" w:eastAsia="Times New Roman" w:hAnsi="Times New Roman"/>
                <w:sz w:val="24"/>
                <w:szCs w:val="24"/>
                <w:rtl w:val="0"/>
              </w:rPr>
              <w:t xml:space="preserve"> El código fuente de la plataforma, la documentación de la API y los manuales técnico y de usuario se entregan a la universidad y se publican en un repositorio público bajo una licencia de software libre, cuya elección se acuerda con el director y el grupo de investigación antes de publicar. Esto permite que otros desarrolladores y estudiantes de ingeniería auditen el trabajo, lo reutilicen o lo amplíen, y deja la trazabilidad técnica de las decisiones tomadas durante el proyecto. Los resultados escritos se resumen además en un documento de divulgación de formato libre que se comparte con el grupo de investigación.</w:t>
            </w:r>
          </w:p>
          <w:p w:rsidR="00000000" w:rsidDel="00000000" w:rsidP="00000000" w:rsidRDefault="00000000" w:rsidRPr="00000000" w14:paraId="00000286">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5 reúne las acciones por público, con el producto asociado y el momento en que se realizan, de acuerdo con el cronograma de la sección 12.</w:t>
            </w:r>
          </w:p>
          <w:p w:rsidR="00000000" w:rsidDel="00000000" w:rsidP="00000000" w:rsidRDefault="00000000" w:rsidRPr="00000000" w14:paraId="00000287">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5</w:t>
            </w:r>
            <w:r w:rsidDel="00000000" w:rsidR="00000000" w:rsidRPr="00000000">
              <w:rPr>
                <w:rtl w:val="0"/>
              </w:rPr>
            </w:r>
          </w:p>
          <w:p w:rsidR="00000000" w:rsidDel="00000000" w:rsidP="00000000" w:rsidRDefault="00000000" w:rsidRPr="00000000" w14:paraId="00000288">
            <w:pPr>
              <w:keepNext w:val="1"/>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de comunicación por público, producto asociado y momento</w:t>
            </w:r>
          </w:p>
          <w:sdt>
            <w:sdtPr>
              <w:lock w:val="contentLocked"/>
              <w:id w:val="1592054561"/>
              <w:tag w:val="goog_rdk_15"/>
            </w:sdtPr>
            <w:sdtContent>
              <w:tbl>
                <w:tblPr>
                  <w:tblStyle w:val="Table18"/>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1.5"/>
                  <w:gridCol w:w="2351.5"/>
                  <w:gridCol w:w="2351.5"/>
                  <w:gridCol w:w="2351.5"/>
                  <w:tblGridChange w:id="0">
                    <w:tblGrid>
                      <w:gridCol w:w="2351.5"/>
                      <w:gridCol w:w="2351.5"/>
                      <w:gridCol w:w="2351.5"/>
                      <w:gridCol w:w="2351.5"/>
                    </w:tblGrid>
                  </w:tblGridChange>
                </w:tblGrid>
                <w:tr>
                  <w:trPr>
                    <w:cantSplit w:val="0"/>
                    <w:tblHeader w:val="0"/>
                  </w:trPr>
                  <w:tc>
                    <w:tcPr>
                      <w:shd w:fill="d9d9d9" w:val="clear"/>
                    </w:tcPr>
                    <w:p w:rsidR="00000000" w:rsidDel="00000000" w:rsidP="00000000" w:rsidRDefault="00000000" w:rsidRPr="00000000" w14:paraId="000002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Público</w:t>
                      </w:r>
                      <w:r w:rsidDel="00000000" w:rsidR="00000000" w:rsidRPr="00000000">
                        <w:rPr>
                          <w:rtl w:val="0"/>
                        </w:rPr>
                      </w:r>
                    </w:p>
                  </w:tc>
                  <w:tc>
                    <w:tcPr>
                      <w:shd w:fill="d9d9d9" w:val="clear"/>
                    </w:tcPr>
                    <w:p w:rsidR="00000000" w:rsidDel="00000000" w:rsidP="00000000" w:rsidRDefault="00000000" w:rsidRPr="00000000" w14:paraId="000002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Acción y medio</w:t>
                      </w:r>
                      <w:r w:rsidDel="00000000" w:rsidR="00000000" w:rsidRPr="00000000">
                        <w:rPr>
                          <w:rtl w:val="0"/>
                        </w:rPr>
                      </w:r>
                    </w:p>
                  </w:tc>
                  <w:tc>
                    <w:tcPr>
                      <w:shd w:fill="d9d9d9" w:val="clear"/>
                    </w:tcPr>
                    <w:p w:rsidR="00000000" w:rsidDel="00000000" w:rsidP="00000000" w:rsidRDefault="00000000" w:rsidRPr="00000000" w14:paraId="000002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Producto asociado</w:t>
                      </w:r>
                      <w:r w:rsidDel="00000000" w:rsidR="00000000" w:rsidRPr="00000000">
                        <w:rPr>
                          <w:rtl w:val="0"/>
                        </w:rPr>
                      </w:r>
                    </w:p>
                  </w:tc>
                  <w:tc>
                    <w:tcPr>
                      <w:shd w:fill="d9d9d9" w:val="clear"/>
                    </w:tcPr>
                    <w:p w:rsidR="00000000" w:rsidDel="00000000" w:rsidP="00000000" w:rsidRDefault="00000000" w:rsidRPr="00000000" w14:paraId="000002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Momento</w:t>
                      </w:r>
                      <w:r w:rsidDel="00000000" w:rsidR="00000000" w:rsidRPr="00000000">
                        <w:rPr>
                          <w:rtl w:val="0"/>
                        </w:rPr>
                      </w:r>
                    </w:p>
                  </w:tc>
                </w:tr>
                <w:tr>
                  <w:trPr>
                    <w:cantSplit w:val="0"/>
                    <w:tblHeader w:val="0"/>
                  </w:trPr>
                  <w:tc>
                    <w:tcPr/>
                    <w:p w:rsidR="00000000" w:rsidDel="00000000" w:rsidP="00000000" w:rsidRDefault="00000000" w:rsidRPr="00000000" w14:paraId="000002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Comunidad académica de la universidad</w:t>
                      </w:r>
                      <w:r w:rsidDel="00000000" w:rsidR="00000000" w:rsidRPr="00000000">
                        <w:rPr>
                          <w:rtl w:val="0"/>
                        </w:rPr>
                      </w:r>
                    </w:p>
                  </w:tc>
                  <w:tc>
                    <w:tcPr/>
                    <w:p w:rsidR="00000000" w:rsidDel="00000000" w:rsidP="00000000" w:rsidRDefault="00000000" w:rsidRPr="00000000" w14:paraId="000002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Reuniones de seguimiento con el director; exposición en jornadas de semilleros, ferias de proyectos o encuentros de innovación</w:t>
                      </w:r>
                      <w:r w:rsidDel="00000000" w:rsidR="00000000" w:rsidRPr="00000000">
                        <w:rPr>
                          <w:rtl w:val="0"/>
                        </w:rPr>
                      </w:r>
                    </w:p>
                  </w:tc>
                  <w:tc>
                    <w:tcPr/>
                    <w:p w:rsidR="00000000" w:rsidDel="00000000" w:rsidP="00000000" w:rsidRDefault="00000000" w:rsidRPr="00000000" w14:paraId="000002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Informe final de investigación</w:t>
                      </w:r>
                      <w:r w:rsidDel="00000000" w:rsidR="00000000" w:rsidRPr="00000000">
                        <w:rPr>
                          <w:rtl w:val="0"/>
                        </w:rPr>
                      </w:r>
                    </w:p>
                  </w:tc>
                  <w:tc>
                    <w:tcPr/>
                    <w:p w:rsidR="00000000" w:rsidDel="00000000" w:rsidP="00000000" w:rsidRDefault="00000000" w:rsidRPr="00000000" w14:paraId="000002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M4, M6 y M8 (avances); M9</w:t>
                      </w:r>
                      <w:r w:rsidDel="00000000" w:rsidR="00000000" w:rsidRPr="00000000">
                        <w:rPr>
                          <w:rtl w:val="0"/>
                        </w:rPr>
                      </w:r>
                    </w:p>
                  </w:tc>
                </w:tr>
                <w:tr>
                  <w:trPr>
                    <w:cantSplit w:val="0"/>
                    <w:tblHeader w:val="0"/>
                  </w:trPr>
                  <w:tc>
                    <w:tcPr/>
                    <w:p w:rsidR="00000000" w:rsidDel="00000000" w:rsidP="00000000" w:rsidRDefault="00000000" w:rsidRPr="00000000" w14:paraId="000002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Comunidad académica de la universidad</w:t>
                      </w:r>
                      <w:r w:rsidDel="00000000" w:rsidR="00000000" w:rsidRPr="00000000">
                        <w:rPr>
                          <w:rtl w:val="0"/>
                        </w:rPr>
                      </w:r>
                    </w:p>
                  </w:tc>
                  <w:tc>
                    <w:tcPr/>
                    <w:p w:rsidR="00000000" w:rsidDel="00000000" w:rsidP="00000000" w:rsidRDefault="00000000" w:rsidRPr="00000000" w14:paraId="000002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Sustentación formal del trabajo de grado ante el jurado</w:t>
                      </w:r>
                      <w:r w:rsidDel="00000000" w:rsidR="00000000" w:rsidRPr="00000000">
                        <w:rPr>
                          <w:rtl w:val="0"/>
                        </w:rPr>
                      </w:r>
                    </w:p>
                  </w:tc>
                  <w:tc>
                    <w:tcPr/>
                    <w:p w:rsidR="00000000" w:rsidDel="00000000" w:rsidP="00000000" w:rsidRDefault="00000000" w:rsidRPr="00000000" w14:paraId="000002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Trabajo de grado</w:t>
                      </w:r>
                      <w:r w:rsidDel="00000000" w:rsidR="00000000" w:rsidRPr="00000000">
                        <w:rPr>
                          <w:rtl w:val="0"/>
                        </w:rPr>
                      </w:r>
                    </w:p>
                  </w:tc>
                  <w:tc>
                    <w:tcPr/>
                    <w:p w:rsidR="00000000" w:rsidDel="00000000" w:rsidP="00000000" w:rsidRDefault="00000000" w:rsidRPr="00000000" w14:paraId="000002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M9</w:t>
                      </w:r>
                      <w:r w:rsidDel="00000000" w:rsidR="00000000" w:rsidRPr="00000000">
                        <w:rPr>
                          <w:rtl w:val="0"/>
                        </w:rPr>
                      </w:r>
                    </w:p>
                  </w:tc>
                </w:tr>
                <w:tr>
                  <w:trPr>
                    <w:cantSplit w:val="0"/>
                    <w:tblHeader w:val="0"/>
                  </w:trPr>
                  <w:tc>
                    <w:tcPr/>
                    <w:p w:rsidR="00000000" w:rsidDel="00000000" w:rsidP="00000000" w:rsidRDefault="00000000" w:rsidRPr="00000000" w14:paraId="000002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Comunidad educativa participante</w:t>
                      </w:r>
                      <w:r w:rsidDel="00000000" w:rsidR="00000000" w:rsidRPr="00000000">
                        <w:rPr>
                          <w:rtl w:val="0"/>
                        </w:rPr>
                      </w:r>
                    </w:p>
                  </w:tc>
                  <w:tc>
                    <w:tcPr/>
                    <w:p w:rsidR="00000000" w:rsidDel="00000000" w:rsidP="00000000" w:rsidRDefault="00000000" w:rsidRPr="00000000" w14:paraId="000002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Sesión de devolución de resultados con lenguaje sencillo y recogida de comentarios</w:t>
                      </w:r>
                      <w:r w:rsidDel="00000000" w:rsidR="00000000" w:rsidRPr="00000000">
                        <w:rPr>
                          <w:rtl w:val="0"/>
                        </w:rPr>
                      </w:r>
                    </w:p>
                  </w:tc>
                  <w:tc>
                    <w:tcPr/>
                    <w:p w:rsidR="00000000" w:rsidDel="00000000" w:rsidP="00000000" w:rsidRDefault="00000000" w:rsidRPr="00000000" w14:paraId="000002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Resumen de resultados y video demostrativo</w:t>
                      </w:r>
                      <w:r w:rsidDel="00000000" w:rsidR="00000000" w:rsidRPr="00000000">
                        <w:rPr>
                          <w:rtl w:val="0"/>
                        </w:rPr>
                      </w:r>
                    </w:p>
                  </w:tc>
                  <w:tc>
                    <w:tcPr/>
                    <w:p w:rsidR="00000000" w:rsidDel="00000000" w:rsidP="00000000" w:rsidRDefault="00000000" w:rsidRPr="00000000" w14:paraId="000002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M8 a M9</w:t>
                      </w:r>
                      <w:r w:rsidDel="00000000" w:rsidR="00000000" w:rsidRPr="00000000">
                        <w:rPr>
                          <w:rtl w:val="0"/>
                        </w:rPr>
                      </w:r>
                    </w:p>
                  </w:tc>
                </w:tr>
                <w:tr>
                  <w:trPr>
                    <w:cantSplit w:val="0"/>
                    <w:tblHeader w:val="0"/>
                  </w:trPr>
                  <w:tc>
                    <w:tcPr/>
                    <w:p w:rsidR="00000000" w:rsidDel="00000000" w:rsidP="00000000" w:rsidRDefault="00000000" w:rsidRPr="00000000" w14:paraId="000002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Comunidad universitaria y de desarrolladores</w:t>
                      </w:r>
                      <w:r w:rsidDel="00000000" w:rsidR="00000000" w:rsidRPr="00000000">
                        <w:rPr>
                          <w:rtl w:val="0"/>
                        </w:rPr>
                      </w:r>
                    </w:p>
                  </w:tc>
                  <w:tc>
                    <w:tcPr/>
                    <w:p w:rsidR="00000000" w:rsidDel="00000000" w:rsidP="00000000" w:rsidRDefault="00000000" w:rsidRPr="00000000" w14:paraId="000002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Sesiones de demostración de la plataforma y publicación del video en un canal de acceso libre</w:t>
                      </w:r>
                      <w:r w:rsidDel="00000000" w:rsidR="00000000" w:rsidRPr="00000000">
                        <w:rPr>
                          <w:rtl w:val="0"/>
                        </w:rPr>
                      </w:r>
                    </w:p>
                  </w:tc>
                  <w:tc>
                    <w:tcPr/>
                    <w:p w:rsidR="00000000" w:rsidDel="00000000" w:rsidP="00000000" w:rsidRDefault="00000000" w:rsidRPr="00000000" w14:paraId="000002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Video demostrativo</w:t>
                      </w:r>
                      <w:r w:rsidDel="00000000" w:rsidR="00000000" w:rsidRPr="00000000">
                        <w:rPr>
                          <w:rtl w:val="0"/>
                        </w:rPr>
                      </w:r>
                    </w:p>
                  </w:tc>
                  <w:tc>
                    <w:tcPr/>
                    <w:p w:rsidR="00000000" w:rsidDel="00000000" w:rsidP="00000000" w:rsidRDefault="00000000" w:rsidRPr="00000000" w14:paraId="000002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M9</w:t>
                      </w:r>
                      <w:r w:rsidDel="00000000" w:rsidR="00000000" w:rsidRPr="00000000">
                        <w:rPr>
                          <w:rtl w:val="0"/>
                        </w:rPr>
                      </w:r>
                    </w:p>
                  </w:tc>
                </w:tr>
                <w:tr>
                  <w:trPr>
                    <w:cantSplit w:val="0"/>
                    <w:tblHeader w:val="0"/>
                  </w:trPr>
                  <w:tc>
                    <w:tcPr/>
                    <w:p w:rsidR="00000000" w:rsidDel="00000000" w:rsidP="00000000" w:rsidRDefault="00000000" w:rsidRPr="00000000" w14:paraId="000002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Comunidad de desarrolladores y estudiantes de ingeniería</w:t>
                      </w:r>
                      <w:r w:rsidDel="00000000" w:rsidR="00000000" w:rsidRPr="00000000">
                        <w:rPr>
                          <w:rtl w:val="0"/>
                        </w:rPr>
                      </w:r>
                    </w:p>
                  </w:tc>
                  <w:tc>
                    <w:tcPr/>
                    <w:p w:rsidR="00000000" w:rsidDel="00000000" w:rsidP="00000000" w:rsidRDefault="00000000" w:rsidRPr="00000000" w14:paraId="000002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Publicación del repositorio con licencia libre, documentación de la API y manuales</w:t>
                      </w:r>
                      <w:r w:rsidDel="00000000" w:rsidR="00000000" w:rsidRPr="00000000">
                        <w:rPr>
                          <w:rtl w:val="0"/>
                        </w:rPr>
                      </w:r>
                    </w:p>
                  </w:tc>
                  <w:tc>
                    <w:tcPr/>
                    <w:p w:rsidR="00000000" w:rsidDel="00000000" w:rsidP="00000000" w:rsidRDefault="00000000" w:rsidRPr="00000000" w14:paraId="000002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Código fuente, documentación y manuales</w:t>
                      </w:r>
                      <w:r w:rsidDel="00000000" w:rsidR="00000000" w:rsidRPr="00000000">
                        <w:rPr>
                          <w:rtl w:val="0"/>
                        </w:rPr>
                      </w:r>
                    </w:p>
                  </w:tc>
                  <w:tc>
                    <w:tcPr/>
                    <w:p w:rsidR="00000000" w:rsidDel="00000000" w:rsidP="00000000" w:rsidRDefault="00000000" w:rsidRPr="00000000" w14:paraId="000002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M9</w:t>
                      </w:r>
                      <w:r w:rsidDel="00000000" w:rsidR="00000000" w:rsidRPr="00000000">
                        <w:rPr>
                          <w:rtl w:val="0"/>
                        </w:rPr>
                      </w:r>
                    </w:p>
                  </w:tc>
                </w:tr>
              </w:tbl>
            </w:sdtContent>
          </w:sdt>
          <w:p w:rsidR="00000000" w:rsidDel="00000000" w:rsidP="00000000" w:rsidRDefault="00000000" w:rsidRPr="00000000" w14:paraId="000002A1">
            <w:pPr>
              <w:keepNext w:val="1"/>
              <w:numPr>
                <w:ilvl w:val="0"/>
                <w:numId w:val="8"/>
              </w:numPr>
              <w:spacing w:after="80" w:before="160" w:line="36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Seguimiento de la comunicación</w:t>
            </w:r>
            <w:r w:rsidDel="00000000" w:rsidR="00000000" w:rsidRPr="00000000">
              <w:rPr>
                <w:rtl w:val="0"/>
              </w:rPr>
            </w:r>
          </w:p>
          <w:p w:rsidR="00000000" w:rsidDel="00000000" w:rsidP="00000000" w:rsidRDefault="00000000" w:rsidRPr="00000000" w14:paraId="000002A2">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saber si la estrategia se cumplió, cada acción deja un registro que puede mostrarse al jurado: el acta o la lista de asistencia de las presentaciones y demostraciones, el enlace del video publicado, la dirección del repositorio con su licencia y el acta de la sesión de devolución con la institución. El cumplimiento se revisa al cierre de la fase 5.</w:t>
            </w:r>
          </w:p>
        </w:tc>
      </w:tr>
    </w:tbl>
    <w:p w:rsidR="00000000" w:rsidDel="00000000" w:rsidP="00000000" w:rsidRDefault="00000000" w:rsidRPr="00000000" w14:paraId="000002A3">
      <w:pPr>
        <w:spacing w:line="360" w:lineRule="auto"/>
        <w:jc w:val="both"/>
        <w:rPr>
          <w:rFonts w:ascii="Times New Roman" w:cs="Times New Roman" w:eastAsia="Times New Roman" w:hAnsi="Times New Roman"/>
        </w:rPr>
      </w:pPr>
      <w:r w:rsidDel="00000000" w:rsidR="00000000" w:rsidRPr="00000000">
        <w:rPr>
          <w:rtl w:val="0"/>
        </w:rPr>
      </w:r>
    </w:p>
    <w:tbl>
      <w:tblPr>
        <w:tblStyle w:val="Table19"/>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2A4">
            <w:pPr>
              <w:numPr>
                <w:ilvl w:val="0"/>
                <w:numId w:val="6"/>
              </w:numPr>
              <w:pBdr>
                <w:top w:space="0" w:sz="0" w:val="nil"/>
                <w:left w:space="0" w:sz="0" w:val="nil"/>
                <w:bottom w:space="0" w:sz="0" w:val="nil"/>
                <w:right w:space="0" w:sz="0" w:val="nil"/>
                <w:between w:space="0" w:sz="0" w:val="nil"/>
              </w:pBdr>
              <w:spacing w:line="360" w:lineRule="auto"/>
              <w:ind w:left="360" w:hanging="360"/>
              <w:jc w:val="both"/>
              <w:rPr/>
            </w:pPr>
            <w:r w:rsidDel="00000000" w:rsidR="00000000" w:rsidRPr="00000000">
              <w:rPr>
                <w:rFonts w:ascii="Times New Roman" w:cs="Times New Roman" w:eastAsia="Times New Roman" w:hAnsi="Times New Roman"/>
                <w:b w:val="1"/>
                <w:bCs w:val="1"/>
                <w:color w:val="000000"/>
                <w:sz w:val="24"/>
                <w:szCs w:val="24"/>
                <w:rtl w:val="0"/>
              </w:rPr>
              <w:t xml:space="preserve">CRONOGRAMA DE ACTIVIDADES </w:t>
            </w:r>
            <w:r w:rsidDel="00000000" w:rsidR="00000000" w:rsidRPr="00000000">
              <w:rPr>
                <w:rtl w:val="0"/>
              </w:rPr>
            </w:r>
          </w:p>
          <w:p w:rsidR="00000000" w:rsidDel="00000000" w:rsidP="00000000" w:rsidRDefault="00000000" w:rsidRPr="00000000" w14:paraId="000002A5">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cronograma organiza el proyecto en nueve meses, numerados de M1 a M9, que van de octubre de 2026 a junio de 2027, y sigue las cinco fases descritas en la metodología. El desarrollo se hace de forma iterativa e incremental con Scrum (Schwaber y Sutherland, 2020): cada fase reúne actividades que se solapan con las de la fase siguiente, de modo que las pruebas comienzan mientras se construyen los últimos módulos y la documentación se redacta a lo largo del proyecto y no solo al final. La tabla 6 muestra la distribución de las actividades por mes.</w:t>
            </w:r>
          </w:p>
          <w:p w:rsidR="00000000" w:rsidDel="00000000" w:rsidP="00000000" w:rsidRDefault="00000000" w:rsidRPr="00000000" w14:paraId="000002A6">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6</w:t>
            </w:r>
            <w:r w:rsidDel="00000000" w:rsidR="00000000" w:rsidRPr="00000000">
              <w:rPr>
                <w:rtl w:val="0"/>
              </w:rPr>
            </w:r>
          </w:p>
          <w:p w:rsidR="00000000" w:rsidDel="00000000" w:rsidP="00000000" w:rsidRDefault="00000000" w:rsidRPr="00000000" w14:paraId="000002A7">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Cronograma de actividades por fase y mes</w:t>
            </w:r>
          </w:p>
          <w:p w:rsidR="00000000" w:rsidDel="00000000" w:rsidP="00000000" w:rsidRDefault="00000000" w:rsidRPr="00000000" w14:paraId="000002A8">
            <w:pPr>
              <w:keepNext w:val="1"/>
              <w:spacing w:line="360" w:lineRule="auto"/>
              <w:rPr>
                <w:rFonts w:ascii="Times New Roman" w:cs="Times New Roman" w:eastAsia="Times New Roman" w:hAnsi="Times New Roman"/>
                <w:sz w:val="24"/>
                <w:szCs w:val="24"/>
              </w:rPr>
            </w:pPr>
            <w:r w:rsidDel="00000000" w:rsidR="00000000" w:rsidRPr="00000000">
              <w:rPr>
                <w:rtl w:val="0"/>
              </w:rPr>
            </w:r>
          </w:p>
          <w:sdt>
            <w:sdtPr>
              <w:lock w:val="contentLocked"/>
              <w:id w:val="-33595901"/>
              <w:tag w:val="goog_rdk_16"/>
            </w:sdtPr>
            <w:sdtContent>
              <w:tbl>
                <w:tblPr>
                  <w:tblStyle w:val="Table2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3270"/>
                  <w:gridCol w:w="495"/>
                  <w:gridCol w:w="495"/>
                  <w:gridCol w:w="465"/>
                  <w:gridCol w:w="465"/>
                  <w:gridCol w:w="480"/>
                  <w:gridCol w:w="480"/>
                  <w:gridCol w:w="495"/>
                  <w:gridCol w:w="480"/>
                  <w:gridCol w:w="525"/>
                  <w:tblGridChange w:id="0">
                    <w:tblGrid>
                      <w:gridCol w:w="1725"/>
                      <w:gridCol w:w="3270"/>
                      <w:gridCol w:w="495"/>
                      <w:gridCol w:w="495"/>
                      <w:gridCol w:w="465"/>
                      <w:gridCol w:w="465"/>
                      <w:gridCol w:w="480"/>
                      <w:gridCol w:w="480"/>
                      <w:gridCol w:w="495"/>
                      <w:gridCol w:w="480"/>
                      <w:gridCol w:w="525"/>
                    </w:tblGrid>
                  </w:tblGridChange>
                </w:tblGrid>
                <w:tr>
                  <w:trPr>
                    <w:cantSplit w:val="0"/>
                    <w:tblHeader w:val="0"/>
                  </w:trPr>
                  <w:tc>
                    <w:tcPr>
                      <w:shd w:fill="d9d9d9" w:val="clear"/>
                    </w:tcPr>
                    <w:p w:rsidR="00000000" w:rsidDel="00000000" w:rsidP="00000000" w:rsidRDefault="00000000" w:rsidRPr="00000000" w14:paraId="000002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Fase</w:t>
                      </w:r>
                      <w:r w:rsidDel="00000000" w:rsidR="00000000" w:rsidRPr="00000000">
                        <w:rPr>
                          <w:rtl w:val="0"/>
                        </w:rPr>
                      </w:r>
                    </w:p>
                  </w:tc>
                  <w:tc>
                    <w:tcPr>
                      <w:shd w:fill="d9d9d9" w:val="clear"/>
                    </w:tcPr>
                    <w:p w:rsidR="00000000" w:rsidDel="00000000" w:rsidP="00000000" w:rsidRDefault="00000000" w:rsidRPr="00000000" w14:paraId="000002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Actividad</w:t>
                      </w:r>
                      <w:r w:rsidDel="00000000" w:rsidR="00000000" w:rsidRPr="00000000">
                        <w:rPr>
                          <w:rtl w:val="0"/>
                        </w:rPr>
                      </w:r>
                    </w:p>
                  </w:tc>
                  <w:tc>
                    <w:tcPr>
                      <w:shd w:fill="d9d9d9" w:val="clear"/>
                    </w:tcPr>
                    <w:p w:rsidR="00000000" w:rsidDel="00000000" w:rsidP="00000000" w:rsidRDefault="00000000" w:rsidRPr="00000000" w14:paraId="000002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M1</w:t>
                      </w:r>
                      <w:r w:rsidDel="00000000" w:rsidR="00000000" w:rsidRPr="00000000">
                        <w:rPr>
                          <w:rtl w:val="0"/>
                        </w:rPr>
                      </w:r>
                    </w:p>
                  </w:tc>
                  <w:tc>
                    <w:tcPr>
                      <w:shd w:fill="d9d9d9" w:val="clear"/>
                    </w:tcPr>
                    <w:p w:rsidR="00000000" w:rsidDel="00000000" w:rsidP="00000000" w:rsidRDefault="00000000" w:rsidRPr="00000000" w14:paraId="000002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M2</w:t>
                      </w:r>
                      <w:r w:rsidDel="00000000" w:rsidR="00000000" w:rsidRPr="00000000">
                        <w:rPr>
                          <w:rtl w:val="0"/>
                        </w:rPr>
                      </w:r>
                    </w:p>
                  </w:tc>
                  <w:tc>
                    <w:tcPr>
                      <w:shd w:fill="d9d9d9" w:val="clear"/>
                    </w:tcPr>
                    <w:p w:rsidR="00000000" w:rsidDel="00000000" w:rsidP="00000000" w:rsidRDefault="00000000" w:rsidRPr="00000000" w14:paraId="000002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M3</w:t>
                      </w:r>
                      <w:r w:rsidDel="00000000" w:rsidR="00000000" w:rsidRPr="00000000">
                        <w:rPr>
                          <w:rtl w:val="0"/>
                        </w:rPr>
                      </w:r>
                    </w:p>
                  </w:tc>
                  <w:tc>
                    <w:tcPr>
                      <w:shd w:fill="d9d9d9" w:val="clear"/>
                    </w:tcPr>
                    <w:p w:rsidR="00000000" w:rsidDel="00000000" w:rsidP="00000000" w:rsidRDefault="00000000" w:rsidRPr="00000000" w14:paraId="000002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M4</w:t>
                      </w:r>
                      <w:r w:rsidDel="00000000" w:rsidR="00000000" w:rsidRPr="00000000">
                        <w:rPr>
                          <w:rtl w:val="0"/>
                        </w:rPr>
                      </w:r>
                    </w:p>
                  </w:tc>
                  <w:tc>
                    <w:tcPr>
                      <w:shd w:fill="d9d9d9" w:val="clear"/>
                    </w:tcPr>
                    <w:p w:rsidR="00000000" w:rsidDel="00000000" w:rsidP="00000000" w:rsidRDefault="00000000" w:rsidRPr="00000000" w14:paraId="000002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M5</w:t>
                      </w:r>
                      <w:r w:rsidDel="00000000" w:rsidR="00000000" w:rsidRPr="00000000">
                        <w:rPr>
                          <w:rtl w:val="0"/>
                        </w:rPr>
                      </w:r>
                    </w:p>
                  </w:tc>
                  <w:tc>
                    <w:tcPr>
                      <w:shd w:fill="d9d9d9" w:val="clear"/>
                    </w:tcPr>
                    <w:p w:rsidR="00000000" w:rsidDel="00000000" w:rsidP="00000000" w:rsidRDefault="00000000" w:rsidRPr="00000000" w14:paraId="000002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M6</w:t>
                      </w:r>
                      <w:r w:rsidDel="00000000" w:rsidR="00000000" w:rsidRPr="00000000">
                        <w:rPr>
                          <w:rtl w:val="0"/>
                        </w:rPr>
                      </w:r>
                    </w:p>
                  </w:tc>
                  <w:tc>
                    <w:tcPr>
                      <w:shd w:fill="d9d9d9" w:val="clear"/>
                    </w:tcPr>
                    <w:p w:rsidR="00000000" w:rsidDel="00000000" w:rsidP="00000000" w:rsidRDefault="00000000" w:rsidRPr="00000000" w14:paraId="000002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M7</w:t>
                      </w:r>
                      <w:r w:rsidDel="00000000" w:rsidR="00000000" w:rsidRPr="00000000">
                        <w:rPr>
                          <w:rtl w:val="0"/>
                        </w:rPr>
                      </w:r>
                    </w:p>
                  </w:tc>
                  <w:tc>
                    <w:tcPr>
                      <w:shd w:fill="d9d9d9" w:val="clear"/>
                    </w:tcPr>
                    <w:p w:rsidR="00000000" w:rsidDel="00000000" w:rsidP="00000000" w:rsidRDefault="00000000" w:rsidRPr="00000000" w14:paraId="000002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M8</w:t>
                      </w:r>
                      <w:r w:rsidDel="00000000" w:rsidR="00000000" w:rsidRPr="00000000">
                        <w:rPr>
                          <w:rtl w:val="0"/>
                        </w:rPr>
                      </w:r>
                    </w:p>
                  </w:tc>
                  <w:tc>
                    <w:tcPr>
                      <w:shd w:fill="d9d9d9" w:val="clear"/>
                    </w:tcPr>
                    <w:p w:rsidR="00000000" w:rsidDel="00000000" w:rsidP="00000000" w:rsidRDefault="00000000" w:rsidRPr="00000000" w14:paraId="000002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M9</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2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1. Diagnóstico y requerimientos</w:t>
                      </w:r>
                      <w:r w:rsidDel="00000000" w:rsidR="00000000" w:rsidRPr="00000000">
                        <w:rPr>
                          <w:rtl w:val="0"/>
                        </w:rPr>
                      </w:r>
                    </w:p>
                  </w:tc>
                  <w:tc>
                    <w:tcPr/>
                    <w:p w:rsidR="00000000" w:rsidDel="00000000" w:rsidP="00000000" w:rsidRDefault="00000000" w:rsidRPr="00000000" w14:paraId="000002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Revisión de la literatura y de la documentación técnica</w:t>
                      </w:r>
                      <w:r w:rsidDel="00000000" w:rsidR="00000000" w:rsidRPr="00000000">
                        <w:rPr>
                          <w:rtl w:val="0"/>
                        </w:rPr>
                      </w:r>
                    </w:p>
                  </w:tc>
                  <w:tc>
                    <w:tcPr>
                      <w:shd w:fill="595959" w:val="clear"/>
                    </w:tcPr>
                    <w:p w:rsidR="00000000" w:rsidDel="00000000" w:rsidP="00000000" w:rsidRDefault="00000000" w:rsidRPr="00000000" w14:paraId="000002B6">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2B7">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8">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9">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A">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B">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C">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D">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BE">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Entrevistas y observación a docentes y directivos docentes; solicitud del aval a la institución</w:t>
                      </w:r>
                      <w:r w:rsidDel="00000000" w:rsidR="00000000" w:rsidRPr="00000000">
                        <w:rPr>
                          <w:rtl w:val="0"/>
                        </w:rPr>
                      </w:r>
                    </w:p>
                  </w:tc>
                  <w:tc>
                    <w:tcPr>
                      <w:shd w:fill="595959" w:val="clear"/>
                    </w:tcPr>
                    <w:p w:rsidR="00000000" w:rsidDel="00000000" w:rsidP="00000000" w:rsidRDefault="00000000" w:rsidRPr="00000000" w14:paraId="000002C1">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2C2">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3">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4">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5">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6">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7">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8">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9">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Levantamiento de requisitos funcionales y no funcionales e historias de usuario</w:t>
                      </w:r>
                      <w:r w:rsidDel="00000000" w:rsidR="00000000" w:rsidRPr="00000000">
                        <w:rPr>
                          <w:rtl w:val="0"/>
                        </w:rPr>
                      </w:r>
                    </w:p>
                  </w:tc>
                  <w:tc>
                    <w:tcPr>
                      <w:shd w:fill="595959" w:val="clear"/>
                    </w:tcPr>
                    <w:p w:rsidR="00000000" w:rsidDel="00000000" w:rsidP="00000000" w:rsidRDefault="00000000" w:rsidRPr="00000000" w14:paraId="000002CC">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2CD">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E">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CF">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0">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1">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2">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3">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4">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Estructuración y priorización del backlog; definición de umbrales de aceptación</w:t>
                      </w:r>
                      <w:r w:rsidDel="00000000" w:rsidR="00000000" w:rsidRPr="00000000">
                        <w:rPr>
                          <w:rtl w:val="0"/>
                        </w:rPr>
                      </w:r>
                    </w:p>
                  </w:tc>
                  <w:tc>
                    <w:tcPr/>
                    <w:p w:rsidR="00000000" w:rsidDel="00000000" w:rsidP="00000000" w:rsidRDefault="00000000" w:rsidRPr="00000000" w14:paraId="000002D7">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2D8">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9">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A">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B">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C">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D">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E">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D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2. Diseño de arquitectura y experiencia de usuario</w:t>
                      </w:r>
                      <w:r w:rsidDel="00000000" w:rsidR="00000000" w:rsidRPr="00000000">
                        <w:rPr>
                          <w:rtl w:val="0"/>
                        </w:rPr>
                      </w:r>
                    </w:p>
                  </w:tc>
                  <w:tc>
                    <w:tcPr/>
                    <w:p w:rsidR="00000000" w:rsidDel="00000000" w:rsidP="00000000" w:rsidRDefault="00000000" w:rsidRPr="00000000" w14:paraId="000002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Diseño de la arquitectura y del modelo de datos</w:t>
                      </w:r>
                      <w:r w:rsidDel="00000000" w:rsidR="00000000" w:rsidRPr="00000000">
                        <w:rPr>
                          <w:rtl w:val="0"/>
                        </w:rPr>
                      </w:r>
                    </w:p>
                  </w:tc>
                  <w:tc>
                    <w:tcPr/>
                    <w:p w:rsidR="00000000" w:rsidDel="00000000" w:rsidP="00000000" w:rsidRDefault="00000000" w:rsidRPr="00000000" w14:paraId="000002E2">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3">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2E4">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5">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6">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7">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8">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9">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A">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Especificación de la API y del flujo de integración del asistente de IA</w:t>
                      </w:r>
                      <w:r w:rsidDel="00000000" w:rsidR="00000000" w:rsidRPr="00000000">
                        <w:rPr>
                          <w:rtl w:val="0"/>
                        </w:rPr>
                      </w:r>
                    </w:p>
                  </w:tc>
                  <w:tc>
                    <w:tcPr/>
                    <w:p w:rsidR="00000000" w:rsidDel="00000000" w:rsidP="00000000" w:rsidRDefault="00000000" w:rsidRPr="00000000" w14:paraId="000002ED">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E">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2EF">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2F0">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1">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2">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3">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4">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5">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Prototipos de las interfaces</w:t>
                      </w:r>
                      <w:r w:rsidDel="00000000" w:rsidR="00000000" w:rsidRPr="00000000">
                        <w:rPr>
                          <w:rtl w:val="0"/>
                        </w:rPr>
                      </w:r>
                    </w:p>
                  </w:tc>
                  <w:tc>
                    <w:tcPr/>
                    <w:p w:rsidR="00000000" w:rsidDel="00000000" w:rsidP="00000000" w:rsidRDefault="00000000" w:rsidRPr="00000000" w14:paraId="000002F8">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9">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2FA">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2FB">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C">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D">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E">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FF">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0">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Plan de pruebas; elaboración y revisión por expertos del cuestionario y del banco de solicitudes</w:t>
                      </w:r>
                      <w:r w:rsidDel="00000000" w:rsidR="00000000" w:rsidRPr="00000000">
                        <w:rPr>
                          <w:rtl w:val="0"/>
                        </w:rPr>
                      </w:r>
                    </w:p>
                  </w:tc>
                  <w:tc>
                    <w:tcPr/>
                    <w:p w:rsidR="00000000" w:rsidDel="00000000" w:rsidP="00000000" w:rsidRDefault="00000000" w:rsidRPr="00000000" w14:paraId="00000303">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4">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5">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06">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7">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8">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9">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A">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B">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3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3. Desarrollo de software</w:t>
                      </w:r>
                      <w:r w:rsidDel="00000000" w:rsidR="00000000" w:rsidRPr="00000000">
                        <w:rPr>
                          <w:rtl w:val="0"/>
                        </w:rPr>
                      </w:r>
                    </w:p>
                  </w:tc>
                  <w:tc>
                    <w:tcPr/>
                    <w:p w:rsidR="00000000" w:rsidDel="00000000" w:rsidP="00000000" w:rsidRDefault="00000000" w:rsidRPr="00000000" w14:paraId="000003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Configuración del entorno de desarrollo y del repositorio</w:t>
                      </w:r>
                      <w:r w:rsidDel="00000000" w:rsidR="00000000" w:rsidRPr="00000000">
                        <w:rPr>
                          <w:rtl w:val="0"/>
                        </w:rPr>
                      </w:r>
                    </w:p>
                  </w:tc>
                  <w:tc>
                    <w:tcPr/>
                    <w:p w:rsidR="00000000" w:rsidDel="00000000" w:rsidP="00000000" w:rsidRDefault="00000000" w:rsidRPr="00000000" w14:paraId="0000030E">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F">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0">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11">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2">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3">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4">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5">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6">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Módulos de gestión de aulas, grupos, actividades y billetera digital</w:t>
                      </w:r>
                      <w:r w:rsidDel="00000000" w:rsidR="00000000" w:rsidRPr="00000000">
                        <w:rPr>
                          <w:rtl w:val="0"/>
                        </w:rPr>
                      </w:r>
                    </w:p>
                  </w:tc>
                  <w:tc>
                    <w:tcPr/>
                    <w:p w:rsidR="00000000" w:rsidDel="00000000" w:rsidP="00000000" w:rsidRDefault="00000000" w:rsidRPr="00000000" w14:paraId="00000319">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A">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B">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1C">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1D">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E">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1F">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0">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1">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Motor de subastas en tiempo real</w:t>
                      </w:r>
                      <w:r w:rsidDel="00000000" w:rsidR="00000000" w:rsidRPr="00000000">
                        <w:rPr>
                          <w:rtl w:val="0"/>
                        </w:rPr>
                      </w:r>
                    </w:p>
                  </w:tc>
                  <w:tc>
                    <w:tcPr/>
                    <w:p w:rsidR="00000000" w:rsidDel="00000000" w:rsidP="00000000" w:rsidRDefault="00000000" w:rsidRPr="00000000" w14:paraId="00000324">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5">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6">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7">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28">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29">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A">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B">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C">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Asistente de IA y reportes institucionales</w:t>
                      </w:r>
                      <w:r w:rsidDel="00000000" w:rsidR="00000000" w:rsidRPr="00000000">
                        <w:rPr>
                          <w:rtl w:val="0"/>
                        </w:rPr>
                      </w:r>
                    </w:p>
                  </w:tc>
                  <w:tc>
                    <w:tcPr/>
                    <w:p w:rsidR="00000000" w:rsidDel="00000000" w:rsidP="00000000" w:rsidRDefault="00000000" w:rsidRPr="00000000" w14:paraId="0000032F">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0">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1">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2">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33">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34">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5">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6">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Pruebas unitarias y revisión de cada incremento</w:t>
                      </w:r>
                      <w:r w:rsidDel="00000000" w:rsidR="00000000" w:rsidRPr="00000000">
                        <w:rPr>
                          <w:rtl w:val="0"/>
                        </w:rPr>
                      </w:r>
                    </w:p>
                  </w:tc>
                  <w:tc>
                    <w:tcPr/>
                    <w:p w:rsidR="00000000" w:rsidDel="00000000" w:rsidP="00000000" w:rsidRDefault="00000000" w:rsidRPr="00000000" w14:paraId="0000033A">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B">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3C">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3D">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3E">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3F">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0">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1">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2">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3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4. Validación y evaluación</w:t>
                      </w:r>
                      <w:r w:rsidDel="00000000" w:rsidR="00000000" w:rsidRPr="00000000">
                        <w:rPr>
                          <w:rtl w:val="0"/>
                        </w:rPr>
                      </w:r>
                    </w:p>
                  </w:tc>
                  <w:tc>
                    <w:tcPr/>
                    <w:p w:rsidR="00000000" w:rsidDel="00000000" w:rsidP="00000000" w:rsidRDefault="00000000" w:rsidRPr="00000000" w14:paraId="000003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Pruebas funcionales, de integración y de seguridad</w:t>
                      </w:r>
                      <w:r w:rsidDel="00000000" w:rsidR="00000000" w:rsidRPr="00000000">
                        <w:rPr>
                          <w:rtl w:val="0"/>
                        </w:rPr>
                      </w:r>
                    </w:p>
                  </w:tc>
                  <w:tc>
                    <w:tcPr/>
                    <w:p w:rsidR="00000000" w:rsidDel="00000000" w:rsidP="00000000" w:rsidRDefault="00000000" w:rsidRPr="00000000" w14:paraId="00000345">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6">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7">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8">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9">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4A">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4B">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C">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D">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Pruebas de desempeño y concurrencia; pruebas del asistente</w:t>
                      </w:r>
                      <w:r w:rsidDel="00000000" w:rsidR="00000000" w:rsidRPr="00000000">
                        <w:rPr>
                          <w:rtl w:val="0"/>
                        </w:rPr>
                      </w:r>
                    </w:p>
                  </w:tc>
                  <w:tc>
                    <w:tcPr/>
                    <w:p w:rsidR="00000000" w:rsidDel="00000000" w:rsidP="00000000" w:rsidRDefault="00000000" w:rsidRPr="00000000" w14:paraId="00000350">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1">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2">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3">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4">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5">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56">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7">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8">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Sesiones de uso guiado y aplicación del cuestionario</w:t>
                      </w:r>
                      <w:r w:rsidDel="00000000" w:rsidR="00000000" w:rsidRPr="00000000">
                        <w:rPr>
                          <w:rtl w:val="0"/>
                        </w:rPr>
                      </w:r>
                    </w:p>
                  </w:tc>
                  <w:tc>
                    <w:tcPr/>
                    <w:p w:rsidR="00000000" w:rsidDel="00000000" w:rsidP="00000000" w:rsidRDefault="00000000" w:rsidRPr="00000000" w14:paraId="0000035B">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C">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D">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E">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5F">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0">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61">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62">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3">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Corrección de los hallazgos</w:t>
                      </w:r>
                      <w:r w:rsidDel="00000000" w:rsidR="00000000" w:rsidRPr="00000000">
                        <w:rPr>
                          <w:rtl w:val="0"/>
                        </w:rPr>
                      </w:r>
                    </w:p>
                  </w:tc>
                  <w:tc>
                    <w:tcPr/>
                    <w:p w:rsidR="00000000" w:rsidDel="00000000" w:rsidP="00000000" w:rsidRDefault="00000000" w:rsidRPr="00000000" w14:paraId="00000366">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7">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8">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9">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A">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B">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6C">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6D">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E">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3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7"/>
                          <w:szCs w:val="17"/>
                          <w:rtl w:val="0"/>
                        </w:rPr>
                        <w:t xml:space="preserve">5. Documentación y socialización</w:t>
                      </w:r>
                      <w:r w:rsidDel="00000000" w:rsidR="00000000" w:rsidRPr="00000000">
                        <w:rPr>
                          <w:rtl w:val="0"/>
                        </w:rPr>
                      </w:r>
                    </w:p>
                  </w:tc>
                  <w:tc>
                    <w:tcPr/>
                    <w:p w:rsidR="00000000" w:rsidDel="00000000" w:rsidP="00000000" w:rsidRDefault="00000000" w:rsidRPr="00000000" w14:paraId="000003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Análisis de datos y sistematización de resultados</w:t>
                      </w:r>
                      <w:r w:rsidDel="00000000" w:rsidR="00000000" w:rsidRPr="00000000">
                        <w:rPr>
                          <w:rtl w:val="0"/>
                        </w:rPr>
                      </w:r>
                    </w:p>
                  </w:tc>
                  <w:tc>
                    <w:tcPr/>
                    <w:p w:rsidR="00000000" w:rsidDel="00000000" w:rsidP="00000000" w:rsidRDefault="00000000" w:rsidRPr="00000000" w14:paraId="00000371">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2">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3">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4">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5">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6">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7">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78">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9">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Manual técnico, manual de usuario y documentación de la API</w:t>
                      </w:r>
                      <w:r w:rsidDel="00000000" w:rsidR="00000000" w:rsidRPr="00000000">
                        <w:rPr>
                          <w:rtl w:val="0"/>
                        </w:rPr>
                      </w:r>
                    </w:p>
                  </w:tc>
                  <w:tc>
                    <w:tcPr/>
                    <w:p w:rsidR="00000000" w:rsidDel="00000000" w:rsidP="00000000" w:rsidRDefault="00000000" w:rsidRPr="00000000" w14:paraId="0000037C">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D">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E">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7F">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0">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1">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82">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83">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84">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Redacción del informe final</w:t>
                      </w:r>
                      <w:r w:rsidDel="00000000" w:rsidR="00000000" w:rsidRPr="00000000">
                        <w:rPr>
                          <w:rtl w:val="0"/>
                        </w:rPr>
                      </w:r>
                    </w:p>
                  </w:tc>
                  <w:tc>
                    <w:tcPr/>
                    <w:p w:rsidR="00000000" w:rsidDel="00000000" w:rsidP="00000000" w:rsidRDefault="00000000" w:rsidRPr="00000000" w14:paraId="00000387">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8">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9">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A">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B">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C">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8D">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8E">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8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Video demostrativo y liberación del código</w:t>
                      </w:r>
                      <w:r w:rsidDel="00000000" w:rsidR="00000000" w:rsidRPr="00000000">
                        <w:rPr>
                          <w:rtl w:val="0"/>
                        </w:rPr>
                      </w:r>
                    </w:p>
                  </w:tc>
                  <w:tc>
                    <w:tcPr/>
                    <w:p w:rsidR="00000000" w:rsidDel="00000000" w:rsidP="00000000" w:rsidRDefault="00000000" w:rsidRPr="00000000" w14:paraId="00000392">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3">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4">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5">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6">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7">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8">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9">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9A">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7"/>
                          <w:szCs w:val="17"/>
                          <w:rtl w:val="0"/>
                        </w:rPr>
                        <w:t xml:space="preserve">Socialización y sustentación</w:t>
                      </w:r>
                      <w:r w:rsidDel="00000000" w:rsidR="00000000" w:rsidRPr="00000000">
                        <w:rPr>
                          <w:rtl w:val="0"/>
                        </w:rPr>
                      </w:r>
                    </w:p>
                  </w:tc>
                  <w:tc>
                    <w:tcPr/>
                    <w:p w:rsidR="00000000" w:rsidDel="00000000" w:rsidP="00000000" w:rsidRDefault="00000000" w:rsidRPr="00000000" w14:paraId="0000039D">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E">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9F">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0">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1">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2">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3">
                      <w:pPr>
                        <w:spacing w:after="0"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A4">
                      <w:pPr>
                        <w:spacing w:after="0" w:line="240" w:lineRule="auto"/>
                        <w:rPr>
                          <w:rFonts w:ascii="Times New Roman" w:cs="Times New Roman" w:eastAsia="Times New Roman" w:hAnsi="Times New Roman"/>
                          <w:sz w:val="24"/>
                          <w:szCs w:val="24"/>
                        </w:rPr>
                      </w:pPr>
                      <w:r w:rsidDel="00000000" w:rsidR="00000000" w:rsidRPr="00000000">
                        <w:rPr>
                          <w:rtl w:val="0"/>
                        </w:rPr>
                      </w:r>
                    </w:p>
                  </w:tc>
                  <w:tc>
                    <w:tcPr>
                      <w:shd w:fill="595959" w:val="clear"/>
                    </w:tcPr>
                    <w:p w:rsidR="00000000" w:rsidDel="00000000" w:rsidP="00000000" w:rsidRDefault="00000000" w:rsidRPr="00000000" w14:paraId="000003A5">
                      <w:pPr>
                        <w:spacing w:after="0" w:line="24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3A6">
            <w:pPr>
              <w:keepNext w:val="1"/>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A7">
      <w:pPr>
        <w:spacing w:line="360" w:lineRule="auto"/>
        <w:jc w:val="both"/>
        <w:rPr>
          <w:rFonts w:ascii="Times New Roman" w:cs="Times New Roman" w:eastAsia="Times New Roman" w:hAnsi="Times New Roman"/>
        </w:rPr>
      </w:pPr>
      <w:r w:rsidDel="00000000" w:rsidR="00000000" w:rsidRPr="00000000">
        <w:rPr>
          <w:rtl w:val="0"/>
        </w:rPr>
      </w:r>
    </w:p>
    <w:tbl>
      <w:tblPr>
        <w:tblStyle w:val="Table21"/>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3A8">
            <w:pPr>
              <w:numPr>
                <w:ilvl w:val="0"/>
                <w:numId w:val="6"/>
              </w:numPr>
              <w:spacing w:line="360" w:lineRule="auto"/>
              <w:ind w:left="360" w:hanging="360"/>
              <w:jc w:val="both"/>
              <w:rPr/>
            </w:pPr>
            <w:r w:rsidDel="00000000" w:rsidR="00000000" w:rsidRPr="00000000">
              <w:rPr>
                <w:rFonts w:ascii="Times New Roman" w:cs="Times New Roman" w:eastAsia="Times New Roman" w:hAnsi="Times New Roman"/>
                <w:b w:val="1"/>
                <w:bCs w:val="1"/>
                <w:sz w:val="24"/>
                <w:szCs w:val="24"/>
                <w:rtl w:val="0"/>
              </w:rPr>
              <w:t xml:space="preserve"> PRESUPUESTO</w:t>
            </w:r>
          </w:p>
          <w:p w:rsidR="00000000" w:rsidDel="00000000" w:rsidP="00000000" w:rsidRDefault="00000000" w:rsidRPr="00000000" w14:paraId="000003A9">
            <w:pPr>
              <w:spacing w:after="12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proyecto es de desarrollo de software y se apoya en servicios en la nube con planes gratuitos y en herramientas de código abierto, por lo que su costo en dinero es bajo. La inversión principal no aparece como un gasto en efectivo: son las horas de ingeniería que aportan los investigadores y los recursos que ya tiene la universidad. Por eso el presupuesto se presenta en dos partes: los gastos en efectivo que se necesitan para ejecutar las actividades, en la sección 13.1, y los aportes en especie, en la sección 13.2.</w:t>
            </w:r>
            <w:r w:rsidDel="00000000" w:rsidR="00000000" w:rsidRPr="00000000">
              <w:rPr>
                <w:rtl w:val="0"/>
              </w:rPr>
            </w:r>
          </w:p>
          <w:p w:rsidR="00000000" w:rsidDel="00000000" w:rsidP="00000000" w:rsidRDefault="00000000" w:rsidRPr="00000000" w14:paraId="000003AA">
            <w:pPr>
              <w:keepNext w:val="1"/>
              <w:numPr>
                <w:ilvl w:val="0"/>
                <w:numId w:val="3"/>
              </w:numPr>
              <w:spacing w:after="80" w:before="160" w:line="360" w:lineRule="auto"/>
              <w:ind w:left="144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24"/>
                <w:szCs w:val="24"/>
                <w:rtl w:val="0"/>
              </w:rPr>
              <w:t xml:space="preserve">Presupuesto de gastos</w:t>
            </w:r>
            <w:r w:rsidDel="00000000" w:rsidR="00000000" w:rsidRPr="00000000">
              <w:rPr>
                <w:rtl w:val="0"/>
              </w:rPr>
            </w:r>
          </w:p>
          <w:p w:rsidR="00000000" w:rsidDel="00000000" w:rsidP="00000000" w:rsidRDefault="00000000" w:rsidRPr="00000000" w14:paraId="000003AB">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gastos se concentran en tres rubros de gastos generales, que cubren lo que no puede resolverse con recursos ya existentes: los materiales para aplicar los instrumentos, el desplazamiento a las sesiones con los usuarios y a las demostraciones, y las reuniones de seguimiento y de socialización. Todos se financian con recursos propios de los investigadores. En esta propuesta no se solicita financiación a la universidad ni a otras entidades, por lo que esas columnas aparecen en cero. La tabla 7 presenta los valores en pesos colombianos.</w:t>
            </w:r>
          </w:p>
          <w:p w:rsidR="00000000" w:rsidDel="00000000" w:rsidP="00000000" w:rsidRDefault="00000000" w:rsidRPr="00000000" w14:paraId="000003AC">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7</w:t>
            </w:r>
            <w:r w:rsidDel="00000000" w:rsidR="00000000" w:rsidRPr="00000000">
              <w:rPr>
                <w:rtl w:val="0"/>
              </w:rPr>
            </w:r>
          </w:p>
          <w:p w:rsidR="00000000" w:rsidDel="00000000" w:rsidP="00000000" w:rsidRDefault="00000000" w:rsidRPr="00000000" w14:paraId="000003AD">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Presupuesto de gastos del proyecto</w:t>
            </w:r>
          </w:p>
          <w:sdt>
            <w:sdtPr>
              <w:lock w:val="contentLocked"/>
              <w:id w:val="-412923564"/>
              <w:tag w:val="goog_rdk_17"/>
            </w:sdtPr>
            <w:sdtContent>
              <w:tbl>
                <w:tblPr>
                  <w:tblStyle w:val="Table22"/>
                  <w:tblW w:w="94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7.6666666666667"/>
                  <w:gridCol w:w="1567.6666666666667"/>
                  <w:gridCol w:w="1567.6666666666667"/>
                  <w:gridCol w:w="1567.6666666666667"/>
                  <w:gridCol w:w="1567.6666666666667"/>
                  <w:gridCol w:w="1567.6666666666667"/>
                  <w:tblGridChange w:id="0">
                    <w:tblGrid>
                      <w:gridCol w:w="1567.6666666666667"/>
                      <w:gridCol w:w="1567.6666666666667"/>
                      <w:gridCol w:w="1567.6666666666667"/>
                      <w:gridCol w:w="1567.6666666666667"/>
                      <w:gridCol w:w="1567.6666666666667"/>
                      <w:gridCol w:w="1567.6666666666667"/>
                    </w:tblGrid>
                  </w:tblGridChange>
                </w:tblGrid>
                <w:tr>
                  <w:trPr>
                    <w:cantSplit w:val="0"/>
                    <w:tblHeader w:val="0"/>
                  </w:trPr>
                  <w:tc>
                    <w:tcPr>
                      <w:shd w:fill="d9d9d9" w:val="clear"/>
                    </w:tcPr>
                    <w:p w:rsidR="00000000" w:rsidDel="00000000" w:rsidP="00000000" w:rsidRDefault="00000000" w:rsidRPr="00000000" w14:paraId="000003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Tipo de gasto</w:t>
                      </w:r>
                      <w:r w:rsidDel="00000000" w:rsidR="00000000" w:rsidRPr="00000000">
                        <w:rPr>
                          <w:rtl w:val="0"/>
                        </w:rPr>
                      </w:r>
                    </w:p>
                  </w:tc>
                  <w:tc>
                    <w:tcPr>
                      <w:shd w:fill="d9d9d9" w:val="clear"/>
                    </w:tcPr>
                    <w:p w:rsidR="00000000" w:rsidDel="00000000" w:rsidP="00000000" w:rsidRDefault="00000000" w:rsidRPr="00000000" w14:paraId="000003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Nombre del gasto</w:t>
                      </w:r>
                      <w:r w:rsidDel="00000000" w:rsidR="00000000" w:rsidRPr="00000000">
                        <w:rPr>
                          <w:rtl w:val="0"/>
                        </w:rPr>
                      </w:r>
                    </w:p>
                  </w:tc>
                  <w:tc>
                    <w:tcPr>
                      <w:shd w:fill="d9d9d9" w:val="clear"/>
                    </w:tcPr>
                    <w:p w:rsidR="00000000" w:rsidDel="00000000" w:rsidP="00000000" w:rsidRDefault="00000000" w:rsidRPr="00000000" w14:paraId="000003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Universidad de La Guajira</w:t>
                      </w:r>
                      <w:r w:rsidDel="00000000" w:rsidR="00000000" w:rsidRPr="00000000">
                        <w:rPr>
                          <w:rtl w:val="0"/>
                        </w:rPr>
                      </w:r>
                    </w:p>
                  </w:tc>
                  <w:tc>
                    <w:tcPr>
                      <w:shd w:fill="d9d9d9" w:val="clear"/>
                    </w:tcPr>
                    <w:p w:rsidR="00000000" w:rsidDel="00000000" w:rsidP="00000000" w:rsidRDefault="00000000" w:rsidRPr="00000000" w14:paraId="000003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Cofinanciadores</w:t>
                      </w:r>
                      <w:r w:rsidDel="00000000" w:rsidR="00000000" w:rsidRPr="00000000">
                        <w:rPr>
                          <w:rtl w:val="0"/>
                        </w:rPr>
                      </w:r>
                    </w:p>
                  </w:tc>
                  <w:tc>
                    <w:tcPr>
                      <w:shd w:fill="d9d9d9" w:val="clear"/>
                    </w:tcPr>
                    <w:p w:rsidR="00000000" w:rsidDel="00000000" w:rsidP="00000000" w:rsidRDefault="00000000" w:rsidRPr="00000000" w14:paraId="000003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Recursos propios</w:t>
                      </w:r>
                      <w:r w:rsidDel="00000000" w:rsidR="00000000" w:rsidRPr="00000000">
                        <w:rPr>
                          <w:rtl w:val="0"/>
                        </w:rPr>
                      </w:r>
                    </w:p>
                  </w:tc>
                  <w:tc>
                    <w:tcPr>
                      <w:shd w:fill="d9d9d9" w:val="clear"/>
                    </w:tcPr>
                    <w:p w:rsidR="00000000" w:rsidDel="00000000" w:rsidP="00000000" w:rsidRDefault="00000000" w:rsidRPr="00000000" w14:paraId="000003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Total</w:t>
                      </w:r>
                      <w:r w:rsidDel="00000000" w:rsidR="00000000" w:rsidRPr="00000000">
                        <w:rPr>
                          <w:rtl w:val="0"/>
                        </w:rPr>
                      </w:r>
                    </w:p>
                  </w:tc>
                </w:tr>
                <w:tr>
                  <w:trPr>
                    <w:cantSplit w:val="0"/>
                    <w:tblHeader w:val="0"/>
                  </w:trPr>
                  <w:tc>
                    <w:tcPr/>
                    <w:p w:rsidR="00000000" w:rsidDel="00000000" w:rsidP="00000000" w:rsidRDefault="00000000" w:rsidRPr="00000000" w14:paraId="000003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Gastos generales</w:t>
                      </w:r>
                      <w:r w:rsidDel="00000000" w:rsidR="00000000" w:rsidRPr="00000000">
                        <w:rPr>
                          <w:rtl w:val="0"/>
                        </w:rPr>
                      </w:r>
                    </w:p>
                  </w:tc>
                  <w:tc>
                    <w:tcPr/>
                    <w:p w:rsidR="00000000" w:rsidDel="00000000" w:rsidP="00000000" w:rsidRDefault="00000000" w:rsidRPr="00000000" w14:paraId="000003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Materiales y suministros</w:t>
                      </w:r>
                      <w:r w:rsidDel="00000000" w:rsidR="00000000" w:rsidRPr="00000000">
                        <w:rPr>
                          <w:rtl w:val="0"/>
                        </w:rPr>
                      </w:r>
                    </w:p>
                  </w:tc>
                  <w:tc>
                    <w:tcPr/>
                    <w:p w:rsidR="00000000" w:rsidDel="00000000" w:rsidP="00000000" w:rsidRDefault="00000000" w:rsidRPr="00000000" w14:paraId="000003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p w:rsidR="00000000" w:rsidDel="00000000" w:rsidP="00000000" w:rsidRDefault="00000000" w:rsidRPr="00000000" w14:paraId="000003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p w:rsidR="00000000" w:rsidDel="00000000" w:rsidP="00000000" w:rsidRDefault="00000000" w:rsidRPr="00000000" w14:paraId="000003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$200.000</w:t>
                      </w:r>
                      <w:r w:rsidDel="00000000" w:rsidR="00000000" w:rsidRPr="00000000">
                        <w:rPr>
                          <w:rtl w:val="0"/>
                        </w:rPr>
                      </w:r>
                    </w:p>
                  </w:tc>
                  <w:tc>
                    <w:tcPr/>
                    <w:p w:rsidR="00000000" w:rsidDel="00000000" w:rsidP="00000000" w:rsidRDefault="00000000" w:rsidRPr="00000000" w14:paraId="000003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$200.000</w:t>
                      </w:r>
                      <w:r w:rsidDel="00000000" w:rsidR="00000000" w:rsidRPr="00000000">
                        <w:rPr>
                          <w:rtl w:val="0"/>
                        </w:rPr>
                      </w:r>
                    </w:p>
                  </w:tc>
                </w:tr>
                <w:tr>
                  <w:trPr>
                    <w:cantSplit w:val="0"/>
                    <w:tblHeader w:val="0"/>
                  </w:trPr>
                  <w:tc>
                    <w:tcPr/>
                    <w:p w:rsidR="00000000" w:rsidDel="00000000" w:rsidP="00000000" w:rsidRDefault="00000000" w:rsidRPr="00000000" w14:paraId="000003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Gastos generales</w:t>
                      </w:r>
                      <w:r w:rsidDel="00000000" w:rsidR="00000000" w:rsidRPr="00000000">
                        <w:rPr>
                          <w:rtl w:val="0"/>
                        </w:rPr>
                      </w:r>
                    </w:p>
                  </w:tc>
                  <w:tc>
                    <w:tcPr/>
                    <w:p w:rsidR="00000000" w:rsidDel="00000000" w:rsidP="00000000" w:rsidRDefault="00000000" w:rsidRPr="00000000" w14:paraId="000003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Logística, traslados y demostraciones de software</w:t>
                      </w:r>
                      <w:r w:rsidDel="00000000" w:rsidR="00000000" w:rsidRPr="00000000">
                        <w:rPr>
                          <w:rtl w:val="0"/>
                        </w:rPr>
                      </w:r>
                    </w:p>
                  </w:tc>
                  <w:tc>
                    <w:tcPr/>
                    <w:p w:rsidR="00000000" w:rsidDel="00000000" w:rsidP="00000000" w:rsidRDefault="00000000" w:rsidRPr="00000000" w14:paraId="000003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p w:rsidR="00000000" w:rsidDel="00000000" w:rsidP="00000000" w:rsidRDefault="00000000" w:rsidRPr="00000000" w14:paraId="000003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p w:rsidR="00000000" w:rsidDel="00000000" w:rsidP="00000000" w:rsidRDefault="00000000" w:rsidRPr="00000000" w14:paraId="000003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$200.000</w:t>
                      </w:r>
                      <w:r w:rsidDel="00000000" w:rsidR="00000000" w:rsidRPr="00000000">
                        <w:rPr>
                          <w:rtl w:val="0"/>
                        </w:rPr>
                      </w:r>
                    </w:p>
                  </w:tc>
                  <w:tc>
                    <w:tcPr/>
                    <w:p w:rsidR="00000000" w:rsidDel="00000000" w:rsidP="00000000" w:rsidRDefault="00000000" w:rsidRPr="00000000" w14:paraId="000003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$200.000</w:t>
                      </w:r>
                      <w:r w:rsidDel="00000000" w:rsidR="00000000" w:rsidRPr="00000000">
                        <w:rPr>
                          <w:rtl w:val="0"/>
                        </w:rPr>
                      </w:r>
                    </w:p>
                  </w:tc>
                </w:tr>
                <w:tr>
                  <w:trPr>
                    <w:cantSplit w:val="0"/>
                    <w:tblHeader w:val="0"/>
                  </w:trPr>
                  <w:tc>
                    <w:tcPr/>
                    <w:p w:rsidR="00000000" w:rsidDel="00000000" w:rsidP="00000000" w:rsidRDefault="00000000" w:rsidRPr="00000000" w14:paraId="000003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Gastos generales</w:t>
                      </w:r>
                      <w:r w:rsidDel="00000000" w:rsidR="00000000" w:rsidRPr="00000000">
                        <w:rPr>
                          <w:rtl w:val="0"/>
                        </w:rPr>
                      </w:r>
                    </w:p>
                  </w:tc>
                  <w:tc>
                    <w:tcPr/>
                    <w:p w:rsidR="00000000" w:rsidDel="00000000" w:rsidP="00000000" w:rsidRDefault="00000000" w:rsidRPr="00000000" w14:paraId="000003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Reuniones</w:t>
                      </w:r>
                      <w:r w:rsidDel="00000000" w:rsidR="00000000" w:rsidRPr="00000000">
                        <w:rPr>
                          <w:rtl w:val="0"/>
                        </w:rPr>
                      </w:r>
                    </w:p>
                  </w:tc>
                  <w:tc>
                    <w:tcPr/>
                    <w:p w:rsidR="00000000" w:rsidDel="00000000" w:rsidP="00000000" w:rsidRDefault="00000000" w:rsidRPr="00000000" w14:paraId="000003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p w:rsidR="00000000" w:rsidDel="00000000" w:rsidP="00000000" w:rsidRDefault="00000000" w:rsidRPr="00000000" w14:paraId="000003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w:t>
                      </w:r>
                      <w:r w:rsidDel="00000000" w:rsidR="00000000" w:rsidRPr="00000000">
                        <w:rPr>
                          <w:rtl w:val="0"/>
                        </w:rPr>
                      </w:r>
                    </w:p>
                  </w:tc>
                  <w:tc>
                    <w:tcPr/>
                    <w:p w:rsidR="00000000" w:rsidDel="00000000" w:rsidP="00000000" w:rsidRDefault="00000000" w:rsidRPr="00000000" w14:paraId="000003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$100.000</w:t>
                      </w:r>
                      <w:r w:rsidDel="00000000" w:rsidR="00000000" w:rsidRPr="00000000">
                        <w:rPr>
                          <w:rtl w:val="0"/>
                        </w:rPr>
                      </w:r>
                    </w:p>
                  </w:tc>
                  <w:tc>
                    <w:tcPr/>
                    <w:p w:rsidR="00000000" w:rsidDel="00000000" w:rsidP="00000000" w:rsidRDefault="00000000" w:rsidRPr="00000000" w14:paraId="000003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$100.000</w:t>
                      </w:r>
                      <w:r w:rsidDel="00000000" w:rsidR="00000000" w:rsidRPr="00000000">
                        <w:rPr>
                          <w:rtl w:val="0"/>
                        </w:rPr>
                      </w:r>
                    </w:p>
                  </w:tc>
                </w:tr>
                <w:tr>
                  <w:trPr>
                    <w:cantSplit w:val="0"/>
                    <w:tblHeader w:val="0"/>
                  </w:trPr>
                  <w:tc>
                    <w:tcPr>
                      <w:gridSpan w:val="2"/>
                    </w:tcPr>
                    <w:p w:rsidR="00000000" w:rsidDel="00000000" w:rsidP="00000000" w:rsidRDefault="00000000" w:rsidRPr="00000000" w14:paraId="000003C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Total</w:t>
                      </w:r>
                      <w:r w:rsidDel="00000000" w:rsidR="00000000" w:rsidRPr="00000000">
                        <w:rPr>
                          <w:rtl w:val="0"/>
                        </w:rPr>
                      </w:r>
                    </w:p>
                  </w:tc>
                  <w:tc>
                    <w:tcPr/>
                    <w:p w:rsidR="00000000" w:rsidDel="00000000" w:rsidP="00000000" w:rsidRDefault="00000000" w:rsidRPr="00000000" w14:paraId="000003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$0</w:t>
                      </w:r>
                      <w:r w:rsidDel="00000000" w:rsidR="00000000" w:rsidRPr="00000000">
                        <w:rPr>
                          <w:rtl w:val="0"/>
                        </w:rPr>
                      </w:r>
                    </w:p>
                  </w:tc>
                  <w:tc>
                    <w:tcPr/>
                    <w:p w:rsidR="00000000" w:rsidDel="00000000" w:rsidP="00000000" w:rsidRDefault="00000000" w:rsidRPr="00000000" w14:paraId="000003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$0</w:t>
                      </w:r>
                      <w:r w:rsidDel="00000000" w:rsidR="00000000" w:rsidRPr="00000000">
                        <w:rPr>
                          <w:rtl w:val="0"/>
                        </w:rPr>
                      </w:r>
                    </w:p>
                  </w:tc>
                  <w:tc>
                    <w:tcPr/>
                    <w:p w:rsidR="00000000" w:rsidDel="00000000" w:rsidP="00000000" w:rsidRDefault="00000000" w:rsidRPr="00000000" w14:paraId="000003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$500.000</w:t>
                      </w:r>
                      <w:r w:rsidDel="00000000" w:rsidR="00000000" w:rsidRPr="00000000">
                        <w:rPr>
                          <w:rtl w:val="0"/>
                        </w:rPr>
                      </w:r>
                    </w:p>
                  </w:tc>
                  <w:tc>
                    <w:tcPr/>
                    <w:p w:rsidR="00000000" w:rsidDel="00000000" w:rsidP="00000000" w:rsidRDefault="00000000" w:rsidRPr="00000000" w14:paraId="000003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$500.000</w:t>
                      </w:r>
                      <w:r w:rsidDel="00000000" w:rsidR="00000000" w:rsidRPr="00000000">
                        <w:rPr>
                          <w:rtl w:val="0"/>
                        </w:rPr>
                      </w:r>
                    </w:p>
                  </w:tc>
                </w:tr>
              </w:tbl>
            </w:sdtContent>
          </w:sdt>
          <w:p w:rsidR="00000000" w:rsidDel="00000000" w:rsidP="00000000" w:rsidRDefault="00000000" w:rsidRPr="00000000" w14:paraId="000003CC">
            <w:pPr>
              <w:spacing w:after="12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Materiales y suministros.</w:t>
            </w:r>
            <w:r w:rsidDel="00000000" w:rsidR="00000000" w:rsidRPr="00000000">
              <w:rPr>
                <w:rFonts w:ascii="Times New Roman" w:cs="Times New Roman" w:eastAsia="Times New Roman" w:hAnsi="Times New Roman"/>
                <w:sz w:val="24"/>
                <w:szCs w:val="24"/>
                <w:rtl w:val="0"/>
              </w:rPr>
              <w:t xml:space="preserve"> Cubren la papelería necesaria para los consentimientos informados, los formatos de observación, los cuestionarios impresos de respaldo y los manuales, además de elementos menores para las sesiones de uso. Se gastan principalmente en las fases 4 y 5.</w:t>
            </w:r>
          </w:p>
          <w:p w:rsidR="00000000" w:rsidDel="00000000" w:rsidP="00000000" w:rsidRDefault="00000000" w:rsidRPr="00000000" w14:paraId="000003CD">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Logística, traslados y demostraciones de software.</w:t>
            </w:r>
            <w:r w:rsidDel="00000000" w:rsidR="00000000" w:rsidRPr="00000000">
              <w:rPr>
                <w:rFonts w:ascii="Times New Roman" w:cs="Times New Roman" w:eastAsia="Times New Roman" w:hAnsi="Times New Roman"/>
                <w:sz w:val="24"/>
                <w:szCs w:val="24"/>
                <w:rtl w:val="0"/>
              </w:rPr>
              <w:t xml:space="preserve"> Incluyen el transporte a la institución educativa local para las entrevistas, las sesiones de uso guiado y la devolución de resultados, y los desplazamientos para las demostraciones de la plataforma a la comunidad universitaria. Se concentran entre las fases 1 y 5, con mayor peso en la fase 4.</w:t>
            </w:r>
          </w:p>
          <w:p w:rsidR="00000000" w:rsidDel="00000000" w:rsidP="00000000" w:rsidRDefault="00000000" w:rsidRPr="00000000" w14:paraId="000003CE">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Reuniones.</w:t>
            </w:r>
            <w:r w:rsidDel="00000000" w:rsidR="00000000" w:rsidRPr="00000000">
              <w:rPr>
                <w:rFonts w:ascii="Times New Roman" w:cs="Times New Roman" w:eastAsia="Times New Roman" w:hAnsi="Times New Roman"/>
                <w:sz w:val="24"/>
                <w:szCs w:val="24"/>
                <w:rtl w:val="0"/>
              </w:rPr>
              <w:t xml:space="preserve"> Corresponden a las reuniones de seguimiento con el director en los hitos del proyecto y a la sesión de socialización de resultados, que se hacen sobre todo en las fases 4 y 5.</w:t>
            </w:r>
          </w:p>
          <w:p w:rsidR="00000000" w:rsidDel="00000000" w:rsidP="00000000" w:rsidRDefault="00000000" w:rsidRPr="00000000" w14:paraId="000003CF">
            <w:pPr>
              <w:keepNext w:val="1"/>
              <w:numPr>
                <w:ilvl w:val="0"/>
                <w:numId w:val="3"/>
              </w:numPr>
              <w:spacing w:after="80" w:before="160" w:line="36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Aportes en especie</w:t>
            </w:r>
            <w:r w:rsidDel="00000000" w:rsidR="00000000" w:rsidRPr="00000000">
              <w:rPr>
                <w:rtl w:val="0"/>
              </w:rPr>
            </w:r>
          </w:p>
          <w:p w:rsidR="00000000" w:rsidDel="00000000" w:rsidP="00000000" w:rsidRDefault="00000000" w:rsidRPr="00000000" w14:paraId="000003D0">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aportes en especie son los recursos que hacen posible el proyecto sin generar un gasto en efectivo y que se registran para dar una idea completa de su costo real. No se les asigna un valor monetario. La tabla 8 los resume.</w:t>
            </w:r>
          </w:p>
          <w:p w:rsidR="00000000" w:rsidDel="00000000" w:rsidP="00000000" w:rsidRDefault="00000000" w:rsidRPr="00000000">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8</w:t>
            </w:r>
            <w:r w:rsidDel="00000000" w:rsidR="00000000" w:rsidRPr="00000000">
              <w:rPr>
                <w:rtl w:val="0"/>
              </w:rPr>
            </w:r>
          </w:p>
          <w:p w:rsidR="00000000" w:rsidDel="00000000" w:rsidP="00000000" w:rsidRDefault="00000000" w:rsidRPr="00000000">
            <w:pPr>
              <w:keepNext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Aportes en especie del proyecto</w:t>
            </w:r>
          </w:p>
          <w:sdt>
            <w:sdtPr>
              <w:lock w:val="contentLocked"/>
              <w:id w:val="2081134799"/>
              <w:tag w:val="goog_rdk_18"/>
            </w:sdtPr>
            <w:sdtContent>
              <w:tbl>
                <w:tblPr>
                  <w:tblStyle w:val="Table23"/>
                  <w:tblW w:w="868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3333333333335"/>
                  <w:gridCol w:w="2895.3333333333335"/>
                  <w:gridCol w:w="2895.3333333333335"/>
                  <w:tblGridChange w:id="0">
                    <w:tblGrid>
                      <w:gridCol w:w="2895.3333333333335"/>
                      <w:gridCol w:w="2895.3333333333335"/>
                      <w:gridCol w:w="2895.3333333333335"/>
                    </w:tblGrid>
                  </w:tblGridChange>
                </w:tblGrid>
                <w:tr>
                  <w:trPr>
                    <w:cantSplit w:val="0"/>
                    <w:tblHeader w:val="0"/>
                  </w:trPr>
                  <w:tc>
                    <w:tcPr>
                      <w:shd w:fill="d9d9d9" w:val="clear"/>
                    </w:tcPr>
                    <w:p w:rsidR="00000000" w:rsidDel="00000000" w:rsidP="00000000" w:rsidRDefault="00000000" w:rsidRPr="00000000" w14:paraId="000003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Aportante</w:t>
                      </w:r>
                      <w:r w:rsidDel="00000000" w:rsidR="00000000" w:rsidRPr="00000000">
                        <w:rPr>
                          <w:rtl w:val="0"/>
                        </w:rPr>
                      </w:r>
                    </w:p>
                  </w:tc>
                  <w:tc>
                    <w:tcPr>
                      <w:shd w:fill="d9d9d9" w:val="clear"/>
                    </w:tcPr>
                    <w:p w:rsidR="00000000" w:rsidDel="00000000" w:rsidP="00000000" w:rsidRDefault="00000000" w:rsidRPr="00000000" w14:paraId="000003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Aporte</w:t>
                      </w:r>
                      <w:r w:rsidDel="00000000" w:rsidR="00000000" w:rsidRPr="00000000">
                        <w:rPr>
                          <w:rtl w:val="0"/>
                        </w:rPr>
                      </w:r>
                    </w:p>
                  </w:tc>
                  <w:tc>
                    <w:tcPr>
                      <w:shd w:fill="d9d9d9" w:val="clear"/>
                    </w:tcPr>
                    <w:p w:rsidR="00000000" w:rsidDel="00000000" w:rsidP="00000000" w:rsidRDefault="00000000" w:rsidRPr="00000000" w14:paraId="000003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Cantidad</w:t>
                      </w:r>
                      <w:r w:rsidDel="00000000" w:rsidR="00000000" w:rsidRPr="00000000">
                        <w:rPr>
                          <w:rtl w:val="0"/>
                        </w:rPr>
                      </w:r>
                    </w:p>
                  </w:tc>
                </w:tr>
                <w:tr>
                  <w:trPr>
                    <w:cantSplit w:val="0"/>
                    <w:tblHeader w:val="0"/>
                  </w:trPr>
                  <w:tc>
                    <w:tcPr/>
                    <w:p w:rsidR="00000000" w:rsidDel="00000000" w:rsidP="00000000" w:rsidRDefault="00000000" w:rsidRPr="00000000" w14:paraId="000003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Investigadores (2)</w:t>
                      </w:r>
                      <w:r w:rsidDel="00000000" w:rsidR="00000000" w:rsidRPr="00000000">
                        <w:rPr>
                          <w:rtl w:val="0"/>
                        </w:rPr>
                      </w:r>
                    </w:p>
                  </w:tc>
                  <w:tc>
                    <w:tcPr/>
                    <w:p w:rsidR="00000000" w:rsidDel="00000000" w:rsidP="00000000" w:rsidRDefault="00000000" w:rsidRPr="00000000" w14:paraId="000003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Horas de ingeniería: análisis, diseño, desarrollo, pruebas y documentación</w:t>
                      </w:r>
                      <w:r w:rsidDel="00000000" w:rsidR="00000000" w:rsidRPr="00000000">
                        <w:rPr>
                          <w:rtl w:val="0"/>
                        </w:rPr>
                      </w:r>
                    </w:p>
                  </w:tc>
                  <w:tc>
                    <w:tcPr/>
                    <w:p w:rsidR="00000000" w:rsidDel="00000000" w:rsidP="00000000" w:rsidRDefault="00000000" w:rsidRPr="00000000" w14:paraId="000003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720 horas en total (360 por investigador)</w:t>
                      </w:r>
                      <w:r w:rsidDel="00000000" w:rsidR="00000000" w:rsidRPr="00000000">
                        <w:rPr>
                          <w:rtl w:val="0"/>
                        </w:rPr>
                      </w:r>
                    </w:p>
                  </w:tc>
                </w:tr>
                <w:tr>
                  <w:trPr>
                    <w:cantSplit w:val="0"/>
                    <w:tblHeader w:val="0"/>
                  </w:trPr>
                  <w:tc>
                    <w:tcPr/>
                    <w:p w:rsidR="00000000" w:rsidDel="00000000" w:rsidP="00000000" w:rsidRDefault="00000000" w:rsidRPr="00000000" w14:paraId="000003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Director del trabajo</w:t>
                      </w:r>
                      <w:r w:rsidDel="00000000" w:rsidR="00000000" w:rsidRPr="00000000">
                        <w:rPr>
                          <w:rtl w:val="0"/>
                        </w:rPr>
                      </w:r>
                    </w:p>
                  </w:tc>
                  <w:tc>
                    <w:tcPr/>
                    <w:p w:rsidR="00000000" w:rsidDel="00000000" w:rsidP="00000000" w:rsidRDefault="00000000" w:rsidRPr="00000000" w14:paraId="000003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Asesoría y revisión de los entregables en cada hito</w:t>
                      </w:r>
                      <w:r w:rsidDel="00000000" w:rsidR="00000000" w:rsidRPr="00000000">
                        <w:rPr>
                          <w:rtl w:val="0"/>
                        </w:rPr>
                      </w:r>
                    </w:p>
                  </w:tc>
                  <w:tc>
                    <w:tcPr/>
                    <w:p w:rsidR="00000000" w:rsidDel="00000000" w:rsidP="00000000" w:rsidRDefault="00000000" w:rsidRPr="00000000" w14:paraId="000003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Reuniones en los 5 hitos</w:t>
                      </w:r>
                      <w:r w:rsidDel="00000000" w:rsidR="00000000" w:rsidRPr="00000000">
                        <w:rPr>
                          <w:rtl w:val="0"/>
                        </w:rPr>
                      </w:r>
                    </w:p>
                  </w:tc>
                </w:tr>
                <w:tr>
                  <w:trPr>
                    <w:cantSplit w:val="0"/>
                    <w:tblHeader w:val="0"/>
                  </w:trPr>
                  <w:tc>
                    <w:tcPr/>
                    <w:p w:rsidR="00000000" w:rsidDel="00000000" w:rsidP="00000000" w:rsidRDefault="00000000" w:rsidRPr="00000000" w14:paraId="000003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Universidad de La Guajira</w:t>
                      </w:r>
                      <w:r w:rsidDel="00000000" w:rsidR="00000000" w:rsidRPr="00000000">
                        <w:rPr>
                          <w:rtl w:val="0"/>
                        </w:rPr>
                      </w:r>
                    </w:p>
                  </w:tc>
                  <w:tc>
                    <w:tcPr/>
                    <w:p w:rsidR="00000000" w:rsidDel="00000000" w:rsidP="00000000" w:rsidRDefault="00000000" w:rsidRPr="00000000" w14:paraId="000003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Laboratorio y conectividad para las pruebas técnicas; participación del grupo de investigación Universidad Paralela</w:t>
                      </w:r>
                      <w:r w:rsidDel="00000000" w:rsidR="00000000" w:rsidRPr="00000000">
                        <w:rPr>
                          <w:rtl w:val="0"/>
                        </w:rPr>
                      </w:r>
                    </w:p>
                  </w:tc>
                  <w:tc>
                    <w:tcPr/>
                    <w:p w:rsidR="00000000" w:rsidDel="00000000" w:rsidP="00000000" w:rsidRDefault="00000000" w:rsidRPr="00000000" w14:paraId="000003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Durante las fases 3 a 5</w:t>
                      </w:r>
                      <w:r w:rsidDel="00000000" w:rsidR="00000000" w:rsidRPr="00000000">
                        <w:rPr>
                          <w:rtl w:val="0"/>
                        </w:rPr>
                      </w:r>
                    </w:p>
                  </w:tc>
                </w:tr>
                <w:tr>
                  <w:trPr>
                    <w:cantSplit w:val="0"/>
                    <w:tblHeader w:val="0"/>
                  </w:trPr>
                  <w:tc>
                    <w:tcPr/>
                    <w:p w:rsidR="00000000" w:rsidDel="00000000" w:rsidP="00000000" w:rsidRDefault="00000000" w:rsidRPr="00000000" w14:paraId="000003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Institución educativa local</w:t>
                      </w:r>
                      <w:r w:rsidDel="00000000" w:rsidR="00000000" w:rsidRPr="00000000">
                        <w:rPr>
                          <w:rtl w:val="0"/>
                        </w:rPr>
                      </w:r>
                    </w:p>
                  </w:tc>
                  <w:tc>
                    <w:tcPr/>
                    <w:p w:rsidR="00000000" w:rsidDel="00000000" w:rsidP="00000000" w:rsidRDefault="00000000" w:rsidRPr="00000000" w14:paraId="000003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Tiempo de los estudiantes y docentes participantes en las sesiones de uso</w:t>
                      </w:r>
                      <w:r w:rsidDel="00000000" w:rsidR="00000000" w:rsidRPr="00000000">
                        <w:rPr>
                          <w:rtl w:val="0"/>
                        </w:rPr>
                      </w:r>
                    </w:p>
                  </w:tc>
                  <w:tc>
                    <w:tcPr/>
                    <w:p w:rsidR="00000000" w:rsidDel="00000000" w:rsidP="00000000" w:rsidRDefault="00000000" w:rsidRPr="00000000" w14:paraId="000003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Sesiones de la fase 4</w:t>
                      </w:r>
                      <w:r w:rsidDel="00000000" w:rsidR="00000000" w:rsidRPr="00000000">
                        <w:rPr>
                          <w:rtl w:val="0"/>
                        </w:rPr>
                      </w:r>
                    </w:p>
                  </w:tc>
                </w:tr>
                <w:tr>
                  <w:trPr>
                    <w:cantSplit w:val="0"/>
                    <w:tblHeader w:val="0"/>
                  </w:trPr>
                  <w:tc>
                    <w:tcPr/>
                    <w:p w:rsidR="00000000" w:rsidDel="00000000" w:rsidP="00000000" w:rsidRDefault="00000000" w:rsidRPr="00000000" w14:paraId="000003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Proveedores de servicios en la nube</w:t>
                      </w:r>
                      <w:r w:rsidDel="00000000" w:rsidR="00000000" w:rsidRPr="00000000">
                        <w:rPr>
                          <w:rtl w:val="0"/>
                        </w:rPr>
                      </w:r>
                    </w:p>
                  </w:tc>
                  <w:tc>
                    <w:tcPr/>
                    <w:p w:rsidR="00000000" w:rsidDel="00000000" w:rsidP="00000000" w:rsidRDefault="00000000" w:rsidRPr="00000000" w14:paraId="000003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Planes gratuitos de alojamiento, base de datos y modelo de lenguaje</w:t>
                      </w:r>
                      <w:r w:rsidDel="00000000" w:rsidR="00000000" w:rsidRPr="00000000">
                        <w:rPr>
                          <w:rtl w:val="0"/>
                        </w:rPr>
                      </w:r>
                    </w:p>
                  </w:tc>
                  <w:tc>
                    <w:tcPr/>
                    <w:p w:rsidR="00000000" w:rsidDel="00000000" w:rsidP="00000000" w:rsidRDefault="00000000" w:rsidRPr="00000000" w14:paraId="000003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Durante el desarrollo y la validación</w:t>
                      </w:r>
                      <w:r w:rsidDel="00000000" w:rsidR="00000000" w:rsidRPr="00000000">
                        <w:rPr>
                          <w:rtl w:val="0"/>
                        </w:rPr>
                      </w:r>
                    </w:p>
                  </w:tc>
                </w:tr>
              </w:tbl>
            </w:sdtContent>
          </w:sdt>
          <w:p w:rsidR="00000000" w:rsidDel="00000000" w:rsidP="00000000" w:rsidRDefault="00000000" w:rsidRPr="00000000" w14:paraId="000003E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horas de los investigadores se calculan con una dedicación de 10 horas semanales por persona durante 36 semanas efectivas de trabajo, que son las del cronograma de nueve meses descontando periodos de evaluaciones y vacaciones.</w:t>
            </w:r>
          </w:p>
          <w:p w:rsidR="00000000" w:rsidDel="00000000" w:rsidP="00000000" w:rsidRDefault="00000000" w:rsidRPr="00000000" w14:paraId="000003E4">
            <w:pPr>
              <w:keepNext w:val="1"/>
              <w:numPr>
                <w:ilvl w:val="0"/>
                <w:numId w:val="3"/>
              </w:numPr>
              <w:spacing w:after="80" w:before="160" w:line="360"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Costos no contemplados</w:t>
            </w:r>
            <w:r w:rsidDel="00000000" w:rsidR="00000000" w:rsidRPr="00000000">
              <w:rPr>
                <w:rtl w:val="0"/>
              </w:rPr>
            </w:r>
          </w:p>
          <w:p w:rsidR="00000000" w:rsidDel="00000000" w:rsidP="00000000" w:rsidRDefault="00000000" w:rsidRPr="00000000" w14:paraId="000003E5">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presupuestan licencias de software, porque el desarrollo usa herramientas y marcos de trabajo de código abierto, ni alojamiento ni base de datos, porque durante el proyecto se emplean los planes gratuitos de los servicios en la nube. Estos planes dependen de las condiciones que el proveedor tenga vigentes. Si durante las pruebas de carga se superan sus límites, el costo adicional se cubre con recursos propios y el rubro de materiales y suministros se reajusta en la proporción necesaria. Tampoco se presupuesta personal, porque los desarrolladores son los propios investigadores.</w:t>
            </w:r>
          </w:p>
          <w:p w:rsidR="00000000" w:rsidDel="00000000" w:rsidP="00000000" w:rsidRDefault="00000000" w:rsidRPr="00000000" w14:paraId="000003E6">
            <w:pPr>
              <w:spacing w:before="200" w:line="360" w:lineRule="auto"/>
              <w:ind w:left="0" w:firstLine="0"/>
              <w:jc w:val="both"/>
              <w:rPr>
                <w:rFonts w:ascii="Times New Roman" w:cs="Times New Roman" w:eastAsia="Times New Roman" w:hAnsi="Times New Roman"/>
                <w:b w:val="1"/>
                <w:bCs w:val="1"/>
                <w:sz w:val="16"/>
                <w:szCs w:val="16"/>
              </w:rPr>
            </w:pPr>
            <w:r w:rsidDel="00000000" w:rsidR="00000000" w:rsidRPr="00000000">
              <w:rPr>
                <w:rtl w:val="0"/>
              </w:rPr>
            </w:r>
          </w:p>
        </w:tc>
      </w:tr>
    </w:tbl>
    <w:p w:rsidR="00000000" w:rsidDel="00000000" w:rsidP="00000000" w:rsidRDefault="00000000" w:rsidRPr="00000000" w14:paraId="000003E7">
      <w:pPr>
        <w:spacing w:line="360" w:lineRule="auto"/>
        <w:jc w:val="both"/>
        <w:rPr>
          <w:rFonts w:ascii="Times New Roman" w:cs="Times New Roman" w:eastAsia="Times New Roman" w:hAnsi="Times New Roman"/>
        </w:rPr>
      </w:pPr>
      <w:r w:rsidDel="00000000" w:rsidR="00000000" w:rsidRPr="00000000">
        <w:rPr>
          <w:rtl w:val="0"/>
        </w:rPr>
      </w:r>
    </w:p>
    <w:tbl>
      <w:tblPr>
        <w:tblStyle w:val="Table24"/>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06"/>
        <w:tblGridChange w:id="0">
          <w:tblGrid>
            <w:gridCol w:w="9606"/>
          </w:tblGrid>
        </w:tblGridChange>
      </w:tblGrid>
      <w:tr>
        <w:trPr>
          <w:cantSplit w:val="0"/>
          <w:tblHeader w:val="0"/>
        </w:trPr>
        <w:tc>
          <w:tcPr/>
          <w:p w:rsidR="00000000" w:rsidDel="00000000" w:rsidP="00000000" w:rsidRDefault="00000000" w:rsidRPr="00000000" w14:paraId="000003E8">
            <w:pPr>
              <w:numPr>
                <w:ilvl w:val="0"/>
                <w:numId w:val="6"/>
              </w:numPr>
              <w:spacing w:after="200" w:line="360" w:lineRule="auto"/>
              <w:ind w:left="360" w:hanging="360"/>
              <w:jc w:val="both"/>
              <w:rPr/>
            </w:pPr>
            <w:r w:rsidDel="00000000" w:rsidR="00000000" w:rsidRPr="00000000">
              <w:rPr>
                <w:rFonts w:ascii="Times New Roman" w:cs="Times New Roman" w:eastAsia="Times New Roman" w:hAnsi="Times New Roman"/>
                <w:b w:val="1"/>
                <w:bCs w:val="1"/>
                <w:sz w:val="24"/>
                <w:szCs w:val="24"/>
                <w:rtl w:val="0"/>
              </w:rPr>
              <w:t xml:space="preserve"> REFERENTES BIBLIOGRÁFICOS</w:t>
            </w:r>
            <w:r w:rsidDel="00000000" w:rsidR="00000000" w:rsidRPr="00000000">
              <w:rPr>
                <w:rtl w:val="0"/>
              </w:rPr>
            </w:r>
          </w:p>
          <w:p w:rsidR="00000000" w:rsidDel="00000000" w:rsidP="00000000" w:rsidRDefault="00000000" w:rsidRPr="00000000" w14:paraId="000003E9">
            <w:pPr>
              <w:spacing w:after="80" w:before="20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Anderson, R. (2020). </w:t>
            </w:r>
            <w:r w:rsidDel="00000000" w:rsidR="00000000" w:rsidRPr="00000000">
              <w:rPr>
                <w:rFonts w:ascii="Times New Roman" w:cs="Times New Roman" w:eastAsia="Times New Roman" w:hAnsi="Times New Roman"/>
                <w:i w:val="1"/>
                <w:iCs w:val="1"/>
                <w:sz w:val="24"/>
                <w:szCs w:val="24"/>
                <w:rtl w:val="0"/>
              </w:rPr>
              <w:t xml:space="preserve">Security engineering: A guide to building dependable distributed systems</w:t>
            </w:r>
            <w:r w:rsidDel="00000000" w:rsidR="00000000" w:rsidRPr="00000000">
              <w:rPr>
                <w:rFonts w:ascii="Times New Roman" w:cs="Times New Roman" w:eastAsia="Times New Roman" w:hAnsi="Times New Roman"/>
                <w:sz w:val="24"/>
                <w:szCs w:val="24"/>
                <w:rtl w:val="0"/>
              </w:rPr>
              <w:t xml:space="preserve"> (3.ª ed.). Wiley.</w:t>
            </w:r>
          </w:p>
          <w:p w:rsidR="00000000" w:rsidDel="00000000" w:rsidP="00000000" w:rsidRDefault="00000000" w:rsidRPr="00000000" w14:paraId="000003EA">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Bass, L., Clements, P., &amp; Kazman, R. (2012). </w:t>
            </w:r>
            <w:r w:rsidDel="00000000" w:rsidR="00000000" w:rsidRPr="00000000">
              <w:rPr>
                <w:rFonts w:ascii="Times New Roman" w:cs="Times New Roman" w:eastAsia="Times New Roman" w:hAnsi="Times New Roman"/>
                <w:i w:val="1"/>
                <w:iCs w:val="1"/>
                <w:sz w:val="24"/>
                <w:szCs w:val="24"/>
                <w:rtl w:val="0"/>
              </w:rPr>
              <w:t xml:space="preserve">Software architecture in practice</w:t>
            </w:r>
            <w:r w:rsidDel="00000000" w:rsidR="00000000" w:rsidRPr="00000000">
              <w:rPr>
                <w:rFonts w:ascii="Times New Roman" w:cs="Times New Roman" w:eastAsia="Times New Roman" w:hAnsi="Times New Roman"/>
                <w:sz w:val="24"/>
                <w:szCs w:val="24"/>
                <w:rtl w:val="0"/>
              </w:rPr>
              <w:t xml:space="preserve"> (3.ª ed.). Addison-Wesley.</w:t>
            </w:r>
          </w:p>
          <w:p w:rsidR="00000000" w:rsidDel="00000000" w:rsidP="00000000" w:rsidRDefault="00000000" w:rsidRPr="00000000" w14:paraId="000003EB">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Bezemer, C.-P., Zaidman, A., Platzbeecker, B., Hurkmans, T., &amp; 't Hart, A. (2010). </w:t>
            </w:r>
            <w:r w:rsidDel="00000000" w:rsidR="00000000" w:rsidRPr="00000000">
              <w:rPr>
                <w:rFonts w:ascii="Times New Roman" w:cs="Times New Roman" w:eastAsia="Times New Roman" w:hAnsi="Times New Roman"/>
                <w:i w:val="1"/>
                <w:iCs w:val="1"/>
                <w:sz w:val="24"/>
                <w:szCs w:val="24"/>
                <w:rtl w:val="0"/>
              </w:rPr>
              <w:t xml:space="preserve">Enabling multi-tenancy: An industrial experience report</w:t>
            </w:r>
            <w:r w:rsidDel="00000000" w:rsidR="00000000" w:rsidRPr="00000000">
              <w:rPr>
                <w:rFonts w:ascii="Times New Roman" w:cs="Times New Roman" w:eastAsia="Times New Roman" w:hAnsi="Times New Roman"/>
                <w:sz w:val="24"/>
                <w:szCs w:val="24"/>
                <w:rtl w:val="0"/>
              </w:rPr>
              <w:t xml:space="preserve"> (Informe técnico TUD-SERG-2010-030). Delft University of Technology.</w:t>
            </w:r>
          </w:p>
          <w:p w:rsidR="00000000" w:rsidDel="00000000" w:rsidP="00000000" w:rsidRDefault="00000000" w:rsidRPr="00000000" w14:paraId="000003ED">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Cronbach, L. J. (1951). Coefficient alpha and the internal structure of tests. </w:t>
            </w:r>
            <w:r w:rsidDel="00000000" w:rsidR="00000000" w:rsidRPr="00000000">
              <w:rPr>
                <w:rFonts w:ascii="Times New Roman" w:cs="Times New Roman" w:eastAsia="Times New Roman" w:hAnsi="Times New Roman"/>
                <w:i w:val="1"/>
                <w:iCs w:val="1"/>
                <w:sz w:val="24"/>
                <w:szCs w:val="24"/>
                <w:rtl w:val="0"/>
              </w:rPr>
              <w:t xml:space="preserve">Psychometrika, 16</w:t>
            </w:r>
            <w:r w:rsidDel="00000000" w:rsidR="00000000" w:rsidRPr="00000000">
              <w:rPr>
                <w:rFonts w:ascii="Times New Roman" w:cs="Times New Roman" w:eastAsia="Times New Roman" w:hAnsi="Times New Roman"/>
                <w:sz w:val="24"/>
                <w:szCs w:val="24"/>
                <w:rtl w:val="0"/>
              </w:rPr>
              <w:t xml:space="preserve">(3), 297-334. https://doi.org/10.1007/BF02310555</w:t>
            </w:r>
          </w:p>
          <w:p w:rsidR="00000000" w:rsidDel="00000000" w:rsidP="00000000" w:rsidRDefault="00000000" w:rsidRPr="00000000" w14:paraId="000003EE">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Davis, F. D. (1989). Perceived usefulness, perceived ease of use, and user acceptance of information technology. </w:t>
            </w:r>
            <w:r w:rsidDel="00000000" w:rsidR="00000000" w:rsidRPr="00000000">
              <w:rPr>
                <w:rFonts w:ascii="Times New Roman" w:cs="Times New Roman" w:eastAsia="Times New Roman" w:hAnsi="Times New Roman"/>
                <w:i w:val="1"/>
                <w:iCs w:val="1"/>
                <w:sz w:val="24"/>
                <w:szCs w:val="24"/>
                <w:rtl w:val="0"/>
              </w:rPr>
              <w:t xml:space="preserve">MIS Quarterly, 13</w:t>
            </w:r>
            <w:r w:rsidDel="00000000" w:rsidR="00000000" w:rsidRPr="00000000">
              <w:rPr>
                <w:rFonts w:ascii="Times New Roman" w:cs="Times New Roman" w:eastAsia="Times New Roman" w:hAnsi="Times New Roman"/>
                <w:sz w:val="24"/>
                <w:szCs w:val="24"/>
                <w:rtl w:val="0"/>
              </w:rPr>
              <w:t xml:space="preserve">(3), 319-340.</w:t>
            </w:r>
          </w:p>
          <w:p w:rsidR="00000000" w:rsidDel="00000000" w:rsidP="00000000" w:rsidRDefault="00000000" w:rsidRPr="00000000" w14:paraId="000003EF">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Deterding, S., Dixon, D., Khaled, R., &amp; Nacke, L. (2011). From game design elements to gamefulness: Defining gamification. </w:t>
            </w:r>
            <w:r w:rsidDel="00000000" w:rsidR="00000000" w:rsidRPr="00000000">
              <w:rPr>
                <w:rFonts w:ascii="Times New Roman" w:cs="Times New Roman" w:eastAsia="Times New Roman" w:hAnsi="Times New Roman"/>
                <w:i w:val="1"/>
                <w:iCs w:val="1"/>
                <w:sz w:val="24"/>
                <w:szCs w:val="24"/>
                <w:rtl w:val="0"/>
              </w:rPr>
              <w:t xml:space="preserve">Proceedings of the 15th International Academic MindTrek Conference</w:t>
            </w:r>
            <w:r w:rsidDel="00000000" w:rsidR="00000000" w:rsidRPr="00000000">
              <w:rPr>
                <w:rFonts w:ascii="Times New Roman" w:cs="Times New Roman" w:eastAsia="Times New Roman" w:hAnsi="Times New Roman"/>
                <w:sz w:val="24"/>
                <w:szCs w:val="24"/>
                <w:rtl w:val="0"/>
              </w:rPr>
              <w:t xml:space="preserve">, 9-15.</w:t>
            </w:r>
          </w:p>
          <w:p w:rsidR="00000000" w:rsidDel="00000000" w:rsidP="00000000" w:rsidRDefault="00000000" w:rsidRPr="00000000" w14:paraId="000003F0">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Dicheva, D., Cassel, L., Styer, R., Dichev, C., Guy, B., &amp; Irwin, K. (2022). An empirical study of the effects of virtual currency on learners in out of class practicing. En </w:t>
            </w:r>
            <w:r w:rsidDel="00000000" w:rsidR="00000000" w:rsidRPr="00000000">
              <w:rPr>
                <w:rFonts w:ascii="Times New Roman" w:cs="Times New Roman" w:eastAsia="Times New Roman" w:hAnsi="Times New Roman"/>
                <w:i w:val="1"/>
                <w:iCs w:val="1"/>
                <w:sz w:val="24"/>
                <w:szCs w:val="24"/>
                <w:rtl w:val="0"/>
              </w:rPr>
              <w:t xml:space="preserve">Proceedings of the 17th European Conference on Technology Enhanced Learning (EC-TEL 2022)</w:t>
            </w:r>
            <w:r w:rsidDel="00000000" w:rsidR="00000000" w:rsidRPr="00000000">
              <w:rPr>
                <w:rFonts w:ascii="Times New Roman" w:cs="Times New Roman" w:eastAsia="Times New Roman" w:hAnsi="Times New Roman"/>
                <w:sz w:val="24"/>
                <w:szCs w:val="24"/>
                <w:rtl w:val="0"/>
              </w:rPr>
              <w:t xml:space="preserve"> (Lecture Notes in Computer Science, Vol. 13450, pp. 74-87). Springer.</w:t>
            </w:r>
          </w:p>
          <w:p w:rsidR="00000000" w:rsidDel="00000000" w:rsidP="00000000" w:rsidRDefault="00000000" w:rsidRPr="00000000" w14:paraId="000003F1">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Dicheva, D., Dichev, C., Agre, G., &amp; Angelova, G. (2015). Gamification in education: A systematic mapping study. </w:t>
            </w:r>
            <w:r w:rsidDel="00000000" w:rsidR="00000000" w:rsidRPr="00000000">
              <w:rPr>
                <w:rFonts w:ascii="Times New Roman" w:cs="Times New Roman" w:eastAsia="Times New Roman" w:hAnsi="Times New Roman"/>
                <w:i w:val="1"/>
                <w:iCs w:val="1"/>
                <w:sz w:val="24"/>
                <w:szCs w:val="24"/>
                <w:rtl w:val="0"/>
              </w:rPr>
              <w:t xml:space="preserve">Educational Technology &amp; Society, 18</w:t>
            </w:r>
            <w:r w:rsidDel="00000000" w:rsidR="00000000" w:rsidRPr="00000000">
              <w:rPr>
                <w:rFonts w:ascii="Times New Roman" w:cs="Times New Roman" w:eastAsia="Times New Roman" w:hAnsi="Times New Roman"/>
                <w:sz w:val="24"/>
                <w:szCs w:val="24"/>
                <w:rtl w:val="0"/>
              </w:rPr>
              <w:t xml:space="preserve">(3), 75-88.</w:t>
            </w:r>
          </w:p>
          <w:p w:rsidR="00000000" w:rsidDel="00000000" w:rsidP="00000000" w:rsidRDefault="00000000" w:rsidRPr="00000000" w14:paraId="000003F2">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Domínguez, A., Saenz-de-Navarrete, J., de-Marcos, L., Fernández-Sanz, L., Pagés, C., &amp; Martínez-Herráiz, J.-J. (2013). Gamifying learning experiences: Practical implications and outcomes. </w:t>
            </w:r>
            <w:r w:rsidDel="00000000" w:rsidR="00000000" w:rsidRPr="00000000">
              <w:rPr>
                <w:rFonts w:ascii="Times New Roman" w:cs="Times New Roman" w:eastAsia="Times New Roman" w:hAnsi="Times New Roman"/>
                <w:i w:val="1"/>
                <w:iCs w:val="1"/>
                <w:sz w:val="24"/>
                <w:szCs w:val="24"/>
                <w:rtl w:val="0"/>
              </w:rPr>
              <w:t xml:space="preserve">Computers &amp; Education, 63</w:t>
            </w:r>
            <w:r w:rsidDel="00000000" w:rsidR="00000000" w:rsidRPr="00000000">
              <w:rPr>
                <w:rFonts w:ascii="Times New Roman" w:cs="Times New Roman" w:eastAsia="Times New Roman" w:hAnsi="Times New Roman"/>
                <w:sz w:val="24"/>
                <w:szCs w:val="24"/>
                <w:rtl w:val="0"/>
              </w:rPr>
              <w:t xml:space="preserve">, 380-392. https://doi.org/10.1016/j.compedu.2012.12.020</w:t>
            </w:r>
          </w:p>
          <w:p w:rsidR="00000000" w:rsidDel="00000000" w:rsidP="00000000" w:rsidRDefault="00000000" w:rsidRPr="00000000" w14:paraId="000003F3">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Elveren, A. Y. (2025). Strategic learning through auctions: A multi-stage classroom game for teaching game theory. </w:t>
            </w:r>
            <w:r w:rsidDel="00000000" w:rsidR="00000000" w:rsidRPr="00000000">
              <w:rPr>
                <w:rFonts w:ascii="Times New Roman" w:cs="Times New Roman" w:eastAsia="Times New Roman" w:hAnsi="Times New Roman"/>
                <w:i w:val="1"/>
                <w:iCs w:val="1"/>
                <w:sz w:val="24"/>
                <w:szCs w:val="24"/>
                <w:rtl w:val="0"/>
              </w:rPr>
              <w:t xml:space="preserve">The Economics Network</w:t>
            </w:r>
            <w:r w:rsidDel="00000000" w:rsidR="00000000" w:rsidRPr="00000000">
              <w:rPr>
                <w:rFonts w:ascii="Times New Roman" w:cs="Times New Roman" w:eastAsia="Times New Roman" w:hAnsi="Times New Roman"/>
                <w:sz w:val="24"/>
                <w:szCs w:val="24"/>
                <w:rtl w:val="0"/>
              </w:rPr>
              <w:t xml:space="preserve">. https://doi.org/10.53593/n4291a</w:t>
            </w:r>
          </w:p>
          <w:p w:rsidR="00000000" w:rsidDel="00000000" w:rsidP="00000000" w:rsidRDefault="00000000" w:rsidRPr="00000000" w14:paraId="000003F4">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Granić, A., &amp; Marangunić, N. (2019). Technology acceptance model in educational context: A systematic literature review. </w:t>
            </w:r>
            <w:r w:rsidDel="00000000" w:rsidR="00000000" w:rsidRPr="00000000">
              <w:rPr>
                <w:rFonts w:ascii="Times New Roman" w:cs="Times New Roman" w:eastAsia="Times New Roman" w:hAnsi="Times New Roman"/>
                <w:i w:val="1"/>
                <w:iCs w:val="1"/>
                <w:sz w:val="24"/>
                <w:szCs w:val="24"/>
                <w:rtl w:val="0"/>
              </w:rPr>
              <w:t xml:space="preserve">British Journal of Educational Technology, 50</w:t>
            </w:r>
            <w:r w:rsidDel="00000000" w:rsidR="00000000" w:rsidRPr="00000000">
              <w:rPr>
                <w:rFonts w:ascii="Times New Roman" w:cs="Times New Roman" w:eastAsia="Times New Roman" w:hAnsi="Times New Roman"/>
                <w:sz w:val="24"/>
                <w:szCs w:val="24"/>
                <w:rtl w:val="0"/>
              </w:rPr>
              <w:t xml:space="preserve">(5), 2572-2593. https://doi.org/10.1111/bjet.12864</w:t>
            </w:r>
          </w:p>
          <w:p w:rsidR="00000000" w:rsidDel="00000000" w:rsidP="00000000" w:rsidRDefault="00000000" w:rsidRPr="00000000" w14:paraId="000003F5">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Gray, J., &amp; Reuter, A. (1993). </w:t>
            </w:r>
            <w:r w:rsidDel="00000000" w:rsidR="00000000" w:rsidRPr="00000000">
              <w:rPr>
                <w:rFonts w:ascii="Times New Roman" w:cs="Times New Roman" w:eastAsia="Times New Roman" w:hAnsi="Times New Roman"/>
                <w:i w:val="1"/>
                <w:iCs w:val="1"/>
                <w:sz w:val="24"/>
                <w:szCs w:val="24"/>
                <w:rtl w:val="0"/>
              </w:rPr>
              <w:t xml:space="preserve">Transaction processing: Concepts and techniques</w:t>
            </w:r>
            <w:r w:rsidDel="00000000" w:rsidR="00000000" w:rsidRPr="00000000">
              <w:rPr>
                <w:rFonts w:ascii="Times New Roman" w:cs="Times New Roman" w:eastAsia="Times New Roman" w:hAnsi="Times New Roman"/>
                <w:sz w:val="24"/>
                <w:szCs w:val="24"/>
                <w:rtl w:val="0"/>
              </w:rPr>
              <w:t xml:space="preserve">. Morgan Kaufmann.</w:t>
            </w:r>
          </w:p>
          <w:p w:rsidR="00000000" w:rsidDel="00000000" w:rsidP="00000000" w:rsidRDefault="00000000" w:rsidRPr="00000000" w14:paraId="000003F6">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Haerder, T., &amp; Reuter, A. (1983). Principles of transaction-oriented database recovery. </w:t>
            </w:r>
            <w:r w:rsidDel="00000000" w:rsidR="00000000" w:rsidRPr="00000000">
              <w:rPr>
                <w:rFonts w:ascii="Times New Roman" w:cs="Times New Roman" w:eastAsia="Times New Roman" w:hAnsi="Times New Roman"/>
                <w:i w:val="1"/>
                <w:iCs w:val="1"/>
                <w:sz w:val="24"/>
                <w:szCs w:val="24"/>
                <w:rtl w:val="0"/>
              </w:rPr>
              <w:t xml:space="preserve">ACM Computing Surveys, 15</w:t>
            </w:r>
            <w:r w:rsidDel="00000000" w:rsidR="00000000" w:rsidRPr="00000000">
              <w:rPr>
                <w:rFonts w:ascii="Times New Roman" w:cs="Times New Roman" w:eastAsia="Times New Roman" w:hAnsi="Times New Roman"/>
                <w:sz w:val="24"/>
                <w:szCs w:val="24"/>
                <w:rtl w:val="0"/>
              </w:rPr>
              <w:t xml:space="preserve">(4), 287-317. https://doi.org/10.1145/289.291</w:t>
            </w:r>
          </w:p>
          <w:p w:rsidR="00000000" w:rsidDel="00000000" w:rsidP="00000000" w:rsidRDefault="00000000" w:rsidRPr="00000000" w14:paraId="000003F7">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Hernández, R., Fernández, C., &amp; Baptista, P. (2014). </w:t>
            </w:r>
            <w:r w:rsidDel="00000000" w:rsidR="00000000" w:rsidRPr="00000000">
              <w:rPr>
                <w:rFonts w:ascii="Times New Roman" w:cs="Times New Roman" w:eastAsia="Times New Roman" w:hAnsi="Times New Roman"/>
                <w:i w:val="1"/>
                <w:iCs w:val="1"/>
                <w:sz w:val="24"/>
                <w:szCs w:val="24"/>
                <w:rtl w:val="0"/>
              </w:rPr>
              <w:t xml:space="preserve">Metodología de la investigación</w:t>
            </w:r>
            <w:r w:rsidDel="00000000" w:rsidR="00000000" w:rsidRPr="00000000">
              <w:rPr>
                <w:rFonts w:ascii="Times New Roman" w:cs="Times New Roman" w:eastAsia="Times New Roman" w:hAnsi="Times New Roman"/>
                <w:sz w:val="24"/>
                <w:szCs w:val="24"/>
                <w:rtl w:val="0"/>
              </w:rPr>
              <w:t xml:space="preserve"> (6.ª ed.). McGraw-Hill.</w:t>
            </w:r>
          </w:p>
          <w:p w:rsidR="00000000" w:rsidDel="00000000" w:rsidP="00000000" w:rsidRDefault="00000000" w:rsidRPr="00000000" w14:paraId="000003F8">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Hevner, A. R., March, S. T., Park, J., &amp; Ram, S. (2004). Design science in information systems research. </w:t>
            </w:r>
            <w:r w:rsidDel="00000000" w:rsidR="00000000" w:rsidRPr="00000000">
              <w:rPr>
                <w:rFonts w:ascii="Times New Roman" w:cs="Times New Roman" w:eastAsia="Times New Roman" w:hAnsi="Times New Roman"/>
                <w:i w:val="1"/>
                <w:iCs w:val="1"/>
                <w:sz w:val="24"/>
                <w:szCs w:val="24"/>
                <w:rtl w:val="0"/>
              </w:rPr>
              <w:t xml:space="preserve">MIS Quarterly, 28</w:t>
            </w:r>
            <w:r w:rsidDel="00000000" w:rsidR="00000000" w:rsidRPr="00000000">
              <w:rPr>
                <w:rFonts w:ascii="Times New Roman" w:cs="Times New Roman" w:eastAsia="Times New Roman" w:hAnsi="Times New Roman"/>
                <w:sz w:val="24"/>
                <w:szCs w:val="24"/>
                <w:rtl w:val="0"/>
              </w:rPr>
              <w:t xml:space="preserve">(1), 75-105. https://doi.org/10.2307/25148625</w:t>
            </w:r>
          </w:p>
          <w:p w:rsidR="00000000" w:rsidDel="00000000" w:rsidP="00000000" w:rsidRDefault="00000000" w:rsidRPr="00000000" w14:paraId="000003F9">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Hurtado de Barrera, J. (2010). </w:t>
            </w:r>
            <w:r w:rsidDel="00000000" w:rsidR="00000000" w:rsidRPr="00000000">
              <w:rPr>
                <w:rFonts w:ascii="Times New Roman" w:cs="Times New Roman" w:eastAsia="Times New Roman" w:hAnsi="Times New Roman"/>
                <w:i w:val="1"/>
                <w:iCs w:val="1"/>
                <w:sz w:val="24"/>
                <w:szCs w:val="24"/>
                <w:rtl w:val="0"/>
              </w:rPr>
              <w:t xml:space="preserve">Metodología de la investigación: Guía para una comprensión holística de la ciencia</w:t>
            </w:r>
            <w:r w:rsidDel="00000000" w:rsidR="00000000" w:rsidRPr="00000000">
              <w:rPr>
                <w:rFonts w:ascii="Times New Roman" w:cs="Times New Roman" w:eastAsia="Times New Roman" w:hAnsi="Times New Roman"/>
                <w:sz w:val="24"/>
                <w:szCs w:val="24"/>
                <w:rtl w:val="0"/>
              </w:rPr>
              <w:t xml:space="preserve"> (4.ª ed.). Quirón.</w:t>
            </w:r>
          </w:p>
          <w:p w:rsidR="00000000" w:rsidDel="00000000" w:rsidP="00000000" w:rsidRDefault="00000000" w:rsidRPr="00000000" w14:paraId="000003FA">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 for Standardization &amp; International Electrotechnical Commission. (2011). </w:t>
            </w:r>
            <w:r w:rsidDel="00000000" w:rsidR="00000000" w:rsidRPr="00000000">
              <w:rPr>
                <w:rFonts w:ascii="Times New Roman" w:cs="Times New Roman" w:eastAsia="Times New Roman" w:hAnsi="Times New Roman"/>
                <w:i w:val="1"/>
                <w:iCs w:val="1"/>
                <w:sz w:val="24"/>
                <w:szCs w:val="24"/>
                <w:rtl w:val="0"/>
              </w:rPr>
              <w:t xml:space="preserve">ISO/IEC 25010:2011. Systems and software engineering: Systems and software Quality Requirements and Evaluation (SQuaRE): System and software quality models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B">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Jain, R. (1991). </w:t>
            </w:r>
            <w:r w:rsidDel="00000000" w:rsidR="00000000" w:rsidRPr="00000000">
              <w:rPr>
                <w:rFonts w:ascii="Times New Roman" w:cs="Times New Roman" w:eastAsia="Times New Roman" w:hAnsi="Times New Roman"/>
                <w:i w:val="1"/>
                <w:iCs w:val="1"/>
                <w:sz w:val="24"/>
                <w:szCs w:val="24"/>
                <w:rtl w:val="0"/>
              </w:rPr>
              <w:t xml:space="preserve">The art of computer systems performance analysis</w:t>
            </w:r>
            <w:r w:rsidDel="00000000" w:rsidR="00000000" w:rsidRPr="00000000">
              <w:rPr>
                <w:rFonts w:ascii="Times New Roman" w:cs="Times New Roman" w:eastAsia="Times New Roman" w:hAnsi="Times New Roman"/>
                <w:sz w:val="24"/>
                <w:szCs w:val="24"/>
                <w:rtl w:val="0"/>
              </w:rPr>
              <w:t xml:space="preserve">. Wiley.</w:t>
            </w:r>
          </w:p>
          <w:p w:rsidR="00000000" w:rsidDel="00000000" w:rsidP="00000000" w:rsidRDefault="00000000" w:rsidRPr="00000000" w14:paraId="000003FC">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Kapp, K. M. (2012). </w:t>
            </w:r>
            <w:r w:rsidDel="00000000" w:rsidR="00000000" w:rsidRPr="00000000">
              <w:rPr>
                <w:rFonts w:ascii="Times New Roman" w:cs="Times New Roman" w:eastAsia="Times New Roman" w:hAnsi="Times New Roman"/>
                <w:i w:val="1"/>
                <w:iCs w:val="1"/>
                <w:sz w:val="24"/>
                <w:szCs w:val="24"/>
                <w:rtl w:val="0"/>
              </w:rPr>
              <w:t xml:space="preserve">The gamification of learning and instruction: Game-based methods and strategies for training and education</w:t>
            </w:r>
            <w:r w:rsidDel="00000000" w:rsidR="00000000" w:rsidRPr="00000000">
              <w:rPr>
                <w:rFonts w:ascii="Times New Roman" w:cs="Times New Roman" w:eastAsia="Times New Roman" w:hAnsi="Times New Roman"/>
                <w:sz w:val="24"/>
                <w:szCs w:val="24"/>
                <w:rtl w:val="0"/>
              </w:rPr>
              <w:t xml:space="preserve">. Pfeiffer.</w:t>
            </w:r>
          </w:p>
          <w:p w:rsidR="00000000" w:rsidDel="00000000" w:rsidP="00000000" w:rsidRDefault="00000000" w:rsidRPr="00000000" w14:paraId="000003FD">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Kleppmann, M. (2017). </w:t>
            </w:r>
            <w:r w:rsidDel="00000000" w:rsidR="00000000" w:rsidRPr="00000000">
              <w:rPr>
                <w:rFonts w:ascii="Times New Roman" w:cs="Times New Roman" w:eastAsia="Times New Roman" w:hAnsi="Times New Roman"/>
                <w:i w:val="1"/>
                <w:iCs w:val="1"/>
                <w:sz w:val="24"/>
                <w:szCs w:val="24"/>
                <w:rtl w:val="0"/>
              </w:rPr>
              <w:t xml:space="preserve">Designing data-intensive applications: The big ideas behind reliable, scalable, and maintainable systems</w:t>
            </w:r>
            <w:r w:rsidDel="00000000" w:rsidR="00000000" w:rsidRPr="00000000">
              <w:rPr>
                <w:rFonts w:ascii="Times New Roman" w:cs="Times New Roman" w:eastAsia="Times New Roman" w:hAnsi="Times New Roman"/>
                <w:sz w:val="24"/>
                <w:szCs w:val="24"/>
                <w:rtl w:val="0"/>
              </w:rPr>
              <w:t xml:space="preserve">. O'Reilly Media.</w:t>
            </w:r>
          </w:p>
          <w:p w:rsidR="00000000" w:rsidDel="00000000" w:rsidP="00000000" w:rsidRDefault="00000000" w:rsidRPr="00000000" w14:paraId="000003FE">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Likert, R. (1932). A technique for the measurement of attitudes. </w:t>
            </w:r>
            <w:r w:rsidDel="00000000" w:rsidR="00000000" w:rsidRPr="00000000">
              <w:rPr>
                <w:rFonts w:ascii="Times New Roman" w:cs="Times New Roman" w:eastAsia="Times New Roman" w:hAnsi="Times New Roman"/>
                <w:i w:val="1"/>
                <w:iCs w:val="1"/>
                <w:sz w:val="24"/>
                <w:szCs w:val="24"/>
                <w:rtl w:val="0"/>
              </w:rPr>
              <w:t xml:space="preserve">Archives of Psychology, 22</w:t>
            </w:r>
            <w:r w:rsidDel="00000000" w:rsidR="00000000" w:rsidRPr="00000000">
              <w:rPr>
                <w:rFonts w:ascii="Times New Roman" w:cs="Times New Roman" w:eastAsia="Times New Roman" w:hAnsi="Times New Roman"/>
                <w:sz w:val="24"/>
                <w:szCs w:val="24"/>
                <w:rtl w:val="0"/>
              </w:rPr>
              <w:t xml:space="preserve">(140), 1-55.</w:t>
            </w:r>
          </w:p>
          <w:p w:rsidR="00000000" w:rsidDel="00000000" w:rsidP="00000000" w:rsidRDefault="00000000" w:rsidRPr="00000000" w14:paraId="000003FF">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Mantilla Jaimes, C. G., &amp; Rojas Gualdrón, D. J. (2016). </w:t>
            </w:r>
            <w:r w:rsidDel="00000000" w:rsidR="00000000" w:rsidRPr="00000000">
              <w:rPr>
                <w:rFonts w:ascii="Times New Roman" w:cs="Times New Roman" w:eastAsia="Times New Roman" w:hAnsi="Times New Roman"/>
                <w:i w:val="1"/>
                <w:iCs w:val="1"/>
                <w:sz w:val="24"/>
                <w:szCs w:val="24"/>
                <w:rtl w:val="0"/>
              </w:rPr>
              <w:t xml:space="preserve">Desarrollo de una plataforma prototipo que brinde soporte para la gamificación en un curso de programación de computadores</w:t>
            </w:r>
            <w:r w:rsidDel="00000000" w:rsidR="00000000" w:rsidRPr="00000000">
              <w:rPr>
                <w:rFonts w:ascii="Times New Roman" w:cs="Times New Roman" w:eastAsia="Times New Roman" w:hAnsi="Times New Roman"/>
                <w:sz w:val="24"/>
                <w:szCs w:val="24"/>
                <w:rtl w:val="0"/>
              </w:rPr>
              <w:t xml:space="preserve"> [Trabajo de grado, Universidad Autónoma de Bucaramanga]. Repositorio institucional UNAB.</w:t>
            </w:r>
          </w:p>
          <w:p w:rsidR="00000000" w:rsidDel="00000000" w:rsidP="00000000" w:rsidRDefault="00000000" w:rsidRPr="00000000" w14:paraId="00000400">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Melendez Arava, N. M., Tapia Gonzalez, N. F., &amp; Griem-Klee, S. (2024). </w:t>
            </w:r>
            <w:r w:rsidDel="00000000" w:rsidR="00000000" w:rsidRPr="00000000">
              <w:rPr>
                <w:rFonts w:ascii="Times New Roman" w:cs="Times New Roman" w:eastAsia="Times New Roman" w:hAnsi="Times New Roman"/>
                <w:i w:val="1"/>
                <w:iCs w:val="1"/>
                <w:sz w:val="24"/>
                <w:szCs w:val="24"/>
                <w:rtl w:val="0"/>
              </w:rPr>
              <w:t xml:space="preserve">Acceptance and use of a gamified environment in higher education: A preliminary study</w:t>
            </w:r>
            <w:r w:rsidDel="00000000" w:rsidR="00000000" w:rsidRPr="00000000">
              <w:rPr>
                <w:rFonts w:ascii="Times New Roman" w:cs="Times New Roman" w:eastAsia="Times New Roman" w:hAnsi="Times New Roman"/>
                <w:sz w:val="24"/>
                <w:szCs w:val="24"/>
                <w:rtl w:val="0"/>
              </w:rPr>
              <w:t xml:space="preserve">. IEEE Computer Society. https://doi.org/10.1109/SCCC63879.2024.10767625</w:t>
            </w:r>
          </w:p>
          <w:p w:rsidR="00000000" w:rsidDel="00000000" w:rsidP="00000000" w:rsidRDefault="00000000" w:rsidRPr="00000000" w14:paraId="00000401">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Ministerio de Ciencia, Tecnología e Innovación. (2021). </w:t>
            </w:r>
            <w:r w:rsidDel="00000000" w:rsidR="00000000" w:rsidRPr="00000000">
              <w:rPr>
                <w:rFonts w:ascii="Times New Roman" w:cs="Times New Roman" w:eastAsia="Times New Roman" w:hAnsi="Times New Roman"/>
                <w:i w:val="1"/>
                <w:iCs w:val="1"/>
                <w:sz w:val="24"/>
                <w:szCs w:val="24"/>
                <w:rtl w:val="0"/>
              </w:rPr>
              <w:t xml:space="preserve">Convocatoria nacional para el reconocimiento y medición de grupos de investigación, desarrollo tecnológico o de innovación y para el reconocimiento de investigadores del Sistema Nacional de Ciencia, Tecnología e Innovación</w:t>
            </w:r>
            <w:r w:rsidDel="00000000" w:rsidR="00000000" w:rsidRPr="00000000">
              <w:rPr>
                <w:rFonts w:ascii="Times New Roman" w:cs="Times New Roman" w:eastAsia="Times New Roman" w:hAnsi="Times New Roman"/>
                <w:sz w:val="24"/>
                <w:szCs w:val="24"/>
                <w:rtl w:val="0"/>
              </w:rPr>
              <w:t xml:space="preserve"> (Convocatoria n.º 894 de 2021).</w:t>
            </w:r>
          </w:p>
          <w:p w:rsidR="00000000" w:rsidDel="00000000" w:rsidP="00000000" w:rsidRDefault="00000000" w:rsidRPr="00000000" w14:paraId="00000403">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Mittal, M., Khare, R., Miroyan, M., Mitra, C., &amp; Norouzi, N. (2025). </w:t>
            </w:r>
            <w:r w:rsidDel="00000000" w:rsidR="00000000" w:rsidRPr="00000000">
              <w:rPr>
                <w:rFonts w:ascii="Times New Roman" w:cs="Times New Roman" w:eastAsia="Times New Roman" w:hAnsi="Times New Roman"/>
                <w:i w:val="1"/>
                <w:iCs w:val="1"/>
                <w:sz w:val="24"/>
                <w:szCs w:val="24"/>
                <w:rtl w:val="0"/>
              </w:rPr>
              <w:t xml:space="preserve">EduMod-LLM: A modular approach for designing flexible and transparent educational assistants</w:t>
            </w:r>
            <w:r w:rsidDel="00000000" w:rsidR="00000000" w:rsidRPr="00000000">
              <w:rPr>
                <w:rFonts w:ascii="Times New Roman" w:cs="Times New Roman" w:eastAsia="Times New Roman" w:hAnsi="Times New Roman"/>
                <w:sz w:val="24"/>
                <w:szCs w:val="24"/>
                <w:rtl w:val="0"/>
              </w:rPr>
              <w:t xml:space="preserve"> [Preprint]. arXiv. https://arxiv.org/abs/2511.21742</w:t>
            </w:r>
          </w:p>
          <w:p w:rsidR="00000000" w:rsidDel="00000000" w:rsidP="00000000" w:rsidRDefault="00000000" w:rsidRPr="00000000" w14:paraId="00000404">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Myers, G. J., Sandler, C., &amp; Badgett, T. (2011). </w:t>
            </w:r>
            <w:r w:rsidDel="00000000" w:rsidR="00000000" w:rsidRPr="00000000">
              <w:rPr>
                <w:rFonts w:ascii="Times New Roman" w:cs="Times New Roman" w:eastAsia="Times New Roman" w:hAnsi="Times New Roman"/>
                <w:i w:val="1"/>
                <w:iCs w:val="1"/>
                <w:sz w:val="24"/>
                <w:szCs w:val="24"/>
                <w:rtl w:val="0"/>
              </w:rPr>
              <w:t xml:space="preserve">The art of software testing</w:t>
            </w:r>
            <w:r w:rsidDel="00000000" w:rsidR="00000000" w:rsidRPr="00000000">
              <w:rPr>
                <w:rFonts w:ascii="Times New Roman" w:cs="Times New Roman" w:eastAsia="Times New Roman" w:hAnsi="Times New Roman"/>
                <w:sz w:val="24"/>
                <w:szCs w:val="24"/>
                <w:rtl w:val="0"/>
              </w:rPr>
              <w:t xml:space="preserve"> (3.ª ed.). Wiley.</w:t>
            </w:r>
          </w:p>
          <w:p w:rsidR="00000000" w:rsidDel="00000000" w:rsidP="00000000" w:rsidRDefault="00000000" w:rsidRPr="00000000" w14:paraId="00000405">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Naciones Unidas. (2015). </w:t>
            </w:r>
            <w:r w:rsidDel="00000000" w:rsidR="00000000" w:rsidRPr="00000000">
              <w:rPr>
                <w:rFonts w:ascii="Times New Roman" w:cs="Times New Roman" w:eastAsia="Times New Roman" w:hAnsi="Times New Roman"/>
                <w:i w:val="1"/>
                <w:iCs w:val="1"/>
                <w:sz w:val="24"/>
                <w:szCs w:val="24"/>
                <w:rtl w:val="0"/>
              </w:rPr>
              <w:t xml:space="preserve">Transformar nuestro mundo: la Agenda 2030 para el Desarrollo Sostenible</w:t>
            </w:r>
            <w:r w:rsidDel="00000000" w:rsidR="00000000" w:rsidRPr="00000000">
              <w:rPr>
                <w:rFonts w:ascii="Times New Roman" w:cs="Times New Roman" w:eastAsia="Times New Roman" w:hAnsi="Times New Roman"/>
                <w:sz w:val="24"/>
                <w:szCs w:val="24"/>
                <w:rtl w:val="0"/>
              </w:rPr>
              <w:t xml:space="preserve"> (Resolución A/RES/70/1). Asamblea General.</w:t>
            </w:r>
          </w:p>
          <w:p w:rsidR="00000000" w:rsidDel="00000000" w:rsidP="00000000" w:rsidRDefault="00000000" w:rsidRPr="00000000" w14:paraId="00000406">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Nielsen, J. (1993). </w:t>
            </w:r>
            <w:r w:rsidDel="00000000" w:rsidR="00000000" w:rsidRPr="00000000">
              <w:rPr>
                <w:rFonts w:ascii="Times New Roman" w:cs="Times New Roman" w:eastAsia="Times New Roman" w:hAnsi="Times New Roman"/>
                <w:i w:val="1"/>
                <w:iCs w:val="1"/>
                <w:sz w:val="24"/>
                <w:szCs w:val="24"/>
                <w:rtl w:val="0"/>
              </w:rPr>
              <w:t xml:space="preserve">Usability engineering</w:t>
            </w:r>
            <w:r w:rsidDel="00000000" w:rsidR="00000000" w:rsidRPr="00000000">
              <w:rPr>
                <w:rFonts w:ascii="Times New Roman" w:cs="Times New Roman" w:eastAsia="Times New Roman" w:hAnsi="Times New Roman"/>
                <w:sz w:val="24"/>
                <w:szCs w:val="24"/>
                <w:rtl w:val="0"/>
              </w:rPr>
              <w:t xml:space="preserve">. Academic Press.</w:t>
            </w:r>
          </w:p>
          <w:p w:rsidR="00000000" w:rsidDel="00000000" w:rsidP="00000000" w:rsidRDefault="00000000" w:rsidRPr="00000000" w14:paraId="00000407">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Norman, D. A. (2013). </w:t>
            </w:r>
            <w:r w:rsidDel="00000000" w:rsidR="00000000" w:rsidRPr="00000000">
              <w:rPr>
                <w:rFonts w:ascii="Times New Roman" w:cs="Times New Roman" w:eastAsia="Times New Roman" w:hAnsi="Times New Roman"/>
                <w:i w:val="1"/>
                <w:iCs w:val="1"/>
                <w:sz w:val="24"/>
                <w:szCs w:val="24"/>
                <w:rtl w:val="0"/>
              </w:rPr>
              <w:t xml:space="preserve">The design of everyday things</w:t>
            </w:r>
            <w:r w:rsidDel="00000000" w:rsidR="00000000" w:rsidRPr="00000000">
              <w:rPr>
                <w:rFonts w:ascii="Times New Roman" w:cs="Times New Roman" w:eastAsia="Times New Roman" w:hAnsi="Times New Roman"/>
                <w:sz w:val="24"/>
                <w:szCs w:val="24"/>
                <w:rtl w:val="0"/>
              </w:rPr>
              <w:t xml:space="preserve"> (ed. rev. y ampliada). Basic Books.</w:t>
            </w:r>
          </w:p>
          <w:p w:rsidR="00000000" w:rsidDel="00000000" w:rsidP="00000000" w:rsidRDefault="00000000" w:rsidRPr="00000000" w14:paraId="00000408">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Páez Martínez, B. B. (2025). </w:t>
            </w:r>
            <w:r w:rsidDel="00000000" w:rsidR="00000000" w:rsidRPr="00000000">
              <w:rPr>
                <w:rFonts w:ascii="Times New Roman" w:cs="Times New Roman" w:eastAsia="Times New Roman" w:hAnsi="Times New Roman"/>
                <w:i w:val="1"/>
                <w:iCs w:val="1"/>
                <w:sz w:val="24"/>
                <w:szCs w:val="24"/>
                <w:rtl w:val="0"/>
              </w:rPr>
              <w:t xml:space="preserve">Diseño de un sistema gamificado soportado en la plataforma Moodle para la simulación de pruebas de evaluación SABER PRO en la Universidad de la Guajira mediante la guía del PMBOK v6</w:t>
            </w:r>
            <w:r w:rsidDel="00000000" w:rsidR="00000000" w:rsidRPr="00000000">
              <w:rPr>
                <w:rFonts w:ascii="Times New Roman" w:cs="Times New Roman" w:eastAsia="Times New Roman" w:hAnsi="Times New Roman"/>
                <w:sz w:val="24"/>
                <w:szCs w:val="24"/>
                <w:rtl w:val="0"/>
              </w:rPr>
              <w:t xml:space="preserve"> [Tesis de maestría, Universidad Santo Tomás]. Repositorio institucional USTA.</w:t>
            </w:r>
          </w:p>
          <w:p w:rsidR="00000000" w:rsidDel="00000000" w:rsidP="00000000" w:rsidRDefault="00000000" w:rsidRPr="00000000" w14:paraId="00000409">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Peffers, K., Tuunanen, T., Rothenberger, M. A., &amp; Chatterjee, S. (2007). A design science research methodology for information systems research. </w:t>
            </w:r>
            <w:r w:rsidDel="00000000" w:rsidR="00000000" w:rsidRPr="00000000">
              <w:rPr>
                <w:rFonts w:ascii="Times New Roman" w:cs="Times New Roman" w:eastAsia="Times New Roman" w:hAnsi="Times New Roman"/>
                <w:i w:val="1"/>
                <w:iCs w:val="1"/>
                <w:sz w:val="24"/>
                <w:szCs w:val="24"/>
                <w:rtl w:val="0"/>
              </w:rPr>
              <w:t xml:space="preserve">Journal of Management Information Systems, 24</w:t>
            </w:r>
            <w:r w:rsidDel="00000000" w:rsidR="00000000" w:rsidRPr="00000000">
              <w:rPr>
                <w:rFonts w:ascii="Times New Roman" w:cs="Times New Roman" w:eastAsia="Times New Roman" w:hAnsi="Times New Roman"/>
                <w:sz w:val="24"/>
                <w:szCs w:val="24"/>
                <w:rtl w:val="0"/>
              </w:rPr>
              <w:t xml:space="preserve">(3), 45-77. https://doi.org/10.2753/MIS0742-1222240302</w:t>
            </w:r>
          </w:p>
          <w:p w:rsidR="00000000" w:rsidDel="00000000" w:rsidP="00000000" w:rsidRDefault="00000000" w:rsidRPr="00000000" w14:paraId="0000040A">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Pressman, R. S. (2010). </w:t>
            </w:r>
            <w:r w:rsidDel="00000000" w:rsidR="00000000" w:rsidRPr="00000000">
              <w:rPr>
                <w:rFonts w:ascii="Times New Roman" w:cs="Times New Roman" w:eastAsia="Times New Roman" w:hAnsi="Times New Roman"/>
                <w:i w:val="1"/>
                <w:iCs w:val="1"/>
                <w:sz w:val="24"/>
                <w:szCs w:val="24"/>
                <w:rtl w:val="0"/>
              </w:rPr>
              <w:t xml:space="preserve">Ingeniería del software: Un enfoque práctico</w:t>
            </w:r>
            <w:r w:rsidDel="00000000" w:rsidR="00000000" w:rsidRPr="00000000">
              <w:rPr>
                <w:rFonts w:ascii="Times New Roman" w:cs="Times New Roman" w:eastAsia="Times New Roman" w:hAnsi="Times New Roman"/>
                <w:sz w:val="24"/>
                <w:szCs w:val="24"/>
                <w:rtl w:val="0"/>
              </w:rPr>
              <w:t xml:space="preserve"> (7.ª ed.). McGraw-Hill.</w:t>
            </w:r>
          </w:p>
          <w:p w:rsidR="00000000" w:rsidDel="00000000" w:rsidP="00000000" w:rsidRDefault="00000000" w:rsidRPr="00000000" w14:paraId="0000040B">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Russell, S., &amp; Norvig, P. (2010). </w:t>
            </w:r>
            <w:r w:rsidDel="00000000" w:rsidR="00000000" w:rsidRPr="00000000">
              <w:rPr>
                <w:rFonts w:ascii="Times New Roman" w:cs="Times New Roman" w:eastAsia="Times New Roman" w:hAnsi="Times New Roman"/>
                <w:i w:val="1"/>
                <w:iCs w:val="1"/>
                <w:sz w:val="24"/>
                <w:szCs w:val="24"/>
                <w:rtl w:val="0"/>
              </w:rPr>
              <w:t xml:space="preserve">Artificial intelligence: A modern approach</w:t>
            </w:r>
            <w:r w:rsidDel="00000000" w:rsidR="00000000" w:rsidRPr="00000000">
              <w:rPr>
                <w:rFonts w:ascii="Times New Roman" w:cs="Times New Roman" w:eastAsia="Times New Roman" w:hAnsi="Times New Roman"/>
                <w:sz w:val="24"/>
                <w:szCs w:val="24"/>
                <w:rtl w:val="0"/>
              </w:rPr>
              <w:t xml:space="preserve"> (3.ª ed.). Pearson.</w:t>
            </w:r>
          </w:p>
          <w:p w:rsidR="00000000" w:rsidDel="00000000" w:rsidP="00000000" w:rsidRDefault="00000000" w:rsidRPr="00000000" w14:paraId="0000040C">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Sailer, M., Hense, J. U., Mayr, S. K., &amp; Mandl, H. (2017). How gamification motivates: An experimental study of the effects of specific game design elements on psychological need satisfaction. </w:t>
            </w:r>
            <w:r w:rsidDel="00000000" w:rsidR="00000000" w:rsidRPr="00000000">
              <w:rPr>
                <w:rFonts w:ascii="Times New Roman" w:cs="Times New Roman" w:eastAsia="Times New Roman" w:hAnsi="Times New Roman"/>
                <w:i w:val="1"/>
                <w:iCs w:val="1"/>
                <w:sz w:val="24"/>
                <w:szCs w:val="24"/>
                <w:rtl w:val="0"/>
              </w:rPr>
              <w:t xml:space="preserve">Computers in Human Behavior, 69</w:t>
            </w:r>
            <w:r w:rsidDel="00000000" w:rsidR="00000000" w:rsidRPr="00000000">
              <w:rPr>
                <w:rFonts w:ascii="Times New Roman" w:cs="Times New Roman" w:eastAsia="Times New Roman" w:hAnsi="Times New Roman"/>
                <w:sz w:val="24"/>
                <w:szCs w:val="24"/>
                <w:rtl w:val="0"/>
              </w:rPr>
              <w:t xml:space="preserve">, 371-380. https://doi.org/10.1016/j.chb.2016.12.033</w:t>
            </w:r>
          </w:p>
          <w:p w:rsidR="00000000" w:rsidDel="00000000" w:rsidP="00000000" w:rsidRDefault="00000000" w:rsidRPr="00000000" w14:paraId="0000040D">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Sailer, M., &amp; Homner, L. (2020). The gamification of learning: A meta-analysis. </w:t>
            </w:r>
            <w:r w:rsidDel="00000000" w:rsidR="00000000" w:rsidRPr="00000000">
              <w:rPr>
                <w:rFonts w:ascii="Times New Roman" w:cs="Times New Roman" w:eastAsia="Times New Roman" w:hAnsi="Times New Roman"/>
                <w:i w:val="1"/>
                <w:iCs w:val="1"/>
                <w:sz w:val="24"/>
                <w:szCs w:val="24"/>
                <w:rtl w:val="0"/>
              </w:rPr>
              <w:t xml:space="preserve">Educational Psychology Review, 32</w:t>
            </w:r>
            <w:r w:rsidDel="00000000" w:rsidR="00000000" w:rsidRPr="00000000">
              <w:rPr>
                <w:rFonts w:ascii="Times New Roman" w:cs="Times New Roman" w:eastAsia="Times New Roman" w:hAnsi="Times New Roman"/>
                <w:sz w:val="24"/>
                <w:szCs w:val="24"/>
                <w:rtl w:val="0"/>
              </w:rPr>
              <w:t xml:space="preserve">(1), 77-112. https://doi.org/10.1007/s10648-019-09498-w</w:t>
            </w:r>
          </w:p>
          <w:p w:rsidR="00000000" w:rsidDel="00000000" w:rsidP="00000000" w:rsidRDefault="00000000" w:rsidRPr="00000000" w14:paraId="0000040E">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Schwaber, K., &amp; Sutherland, J. (2020). </w:t>
            </w:r>
            <w:r w:rsidDel="00000000" w:rsidR="00000000" w:rsidRPr="00000000">
              <w:rPr>
                <w:rFonts w:ascii="Times New Roman" w:cs="Times New Roman" w:eastAsia="Times New Roman" w:hAnsi="Times New Roman"/>
                <w:i w:val="1"/>
                <w:iCs w:val="1"/>
                <w:sz w:val="24"/>
                <w:szCs w:val="24"/>
                <w:rtl w:val="0"/>
              </w:rPr>
              <w:t xml:space="preserve">La guía de Scrum</w:t>
            </w:r>
            <w:r w:rsidDel="00000000" w:rsidR="00000000" w:rsidRPr="00000000">
              <w:rPr>
                <w:rFonts w:ascii="Times New Roman" w:cs="Times New Roman" w:eastAsia="Times New Roman" w:hAnsi="Times New Roman"/>
                <w:sz w:val="24"/>
                <w:szCs w:val="24"/>
                <w:rtl w:val="0"/>
              </w:rPr>
              <w:t xml:space="preserve">. https://scrumguides.org</w:t>
            </w:r>
          </w:p>
          <w:p w:rsidR="00000000" w:rsidDel="00000000" w:rsidP="00000000" w:rsidRDefault="00000000" w:rsidRPr="00000000" w14:paraId="0000040F">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Silberschatz, A., Korth, H. F., &amp; Sudarshan, S. (2010). </w:t>
            </w:r>
            <w:r w:rsidDel="00000000" w:rsidR="00000000" w:rsidRPr="00000000">
              <w:rPr>
                <w:rFonts w:ascii="Times New Roman" w:cs="Times New Roman" w:eastAsia="Times New Roman" w:hAnsi="Times New Roman"/>
                <w:i w:val="1"/>
                <w:iCs w:val="1"/>
                <w:sz w:val="24"/>
                <w:szCs w:val="24"/>
                <w:rtl w:val="0"/>
              </w:rPr>
              <w:t xml:space="preserve">Database system concepts</w:t>
            </w:r>
            <w:r w:rsidDel="00000000" w:rsidR="00000000" w:rsidRPr="00000000">
              <w:rPr>
                <w:rFonts w:ascii="Times New Roman" w:cs="Times New Roman" w:eastAsia="Times New Roman" w:hAnsi="Times New Roman"/>
                <w:sz w:val="24"/>
                <w:szCs w:val="24"/>
                <w:rtl w:val="0"/>
              </w:rPr>
              <w:t xml:space="preserve"> (6.ª ed.). McGraw-Hill.</w:t>
            </w:r>
          </w:p>
          <w:p w:rsidR="00000000" w:rsidDel="00000000" w:rsidP="00000000" w:rsidRDefault="00000000" w:rsidRPr="00000000" w14:paraId="00000410">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Smith, C. U., &amp; Williams, L. G. (2002). </w:t>
            </w:r>
            <w:r w:rsidDel="00000000" w:rsidR="00000000" w:rsidRPr="00000000">
              <w:rPr>
                <w:rFonts w:ascii="Times New Roman" w:cs="Times New Roman" w:eastAsia="Times New Roman" w:hAnsi="Times New Roman"/>
                <w:i w:val="1"/>
                <w:iCs w:val="1"/>
                <w:sz w:val="24"/>
                <w:szCs w:val="24"/>
                <w:rtl w:val="0"/>
              </w:rPr>
              <w:t xml:space="preserve">Performance solutions: A practical guide to creating responsive, scalable software</w:t>
            </w:r>
            <w:r w:rsidDel="00000000" w:rsidR="00000000" w:rsidRPr="00000000">
              <w:rPr>
                <w:rFonts w:ascii="Times New Roman" w:cs="Times New Roman" w:eastAsia="Times New Roman" w:hAnsi="Times New Roman"/>
                <w:sz w:val="24"/>
                <w:szCs w:val="24"/>
                <w:rtl w:val="0"/>
              </w:rPr>
              <w:t xml:space="preserve">. Addison-Wesley.</w:t>
            </w:r>
          </w:p>
          <w:p w:rsidR="00000000" w:rsidDel="00000000" w:rsidP="00000000" w:rsidRDefault="00000000" w:rsidRPr="00000000" w14:paraId="00000411">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(2011). </w:t>
            </w:r>
            <w:r w:rsidDel="00000000" w:rsidR="00000000" w:rsidRPr="00000000">
              <w:rPr>
                <w:rFonts w:ascii="Times New Roman" w:cs="Times New Roman" w:eastAsia="Times New Roman" w:hAnsi="Times New Roman"/>
                <w:i w:val="1"/>
                <w:iCs w:val="1"/>
                <w:sz w:val="24"/>
                <w:szCs w:val="24"/>
                <w:rtl w:val="0"/>
              </w:rPr>
              <w:t xml:space="preserve">Ingeniería de software</w:t>
            </w:r>
            <w:r w:rsidDel="00000000" w:rsidR="00000000" w:rsidRPr="00000000">
              <w:rPr>
                <w:rFonts w:ascii="Times New Roman" w:cs="Times New Roman" w:eastAsia="Times New Roman" w:hAnsi="Times New Roman"/>
                <w:sz w:val="24"/>
                <w:szCs w:val="24"/>
                <w:rtl w:val="0"/>
              </w:rPr>
              <w:t xml:space="preserve"> (9.ª ed.). Pearson Educación.</w:t>
            </w:r>
          </w:p>
          <w:p w:rsidR="00000000" w:rsidDel="00000000" w:rsidP="00000000" w:rsidRDefault="00000000" w:rsidRPr="00000000" w14:paraId="00000412">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Stallings, W., &amp; Brown, L. (2018). </w:t>
            </w:r>
            <w:r w:rsidDel="00000000" w:rsidR="00000000" w:rsidRPr="00000000">
              <w:rPr>
                <w:rFonts w:ascii="Times New Roman" w:cs="Times New Roman" w:eastAsia="Times New Roman" w:hAnsi="Times New Roman"/>
                <w:i w:val="1"/>
                <w:iCs w:val="1"/>
                <w:sz w:val="24"/>
                <w:szCs w:val="24"/>
                <w:rtl w:val="0"/>
              </w:rPr>
              <w:t xml:space="preserve">Computer security: Principles and practice</w:t>
            </w:r>
            <w:r w:rsidDel="00000000" w:rsidR="00000000" w:rsidRPr="00000000">
              <w:rPr>
                <w:rFonts w:ascii="Times New Roman" w:cs="Times New Roman" w:eastAsia="Times New Roman" w:hAnsi="Times New Roman"/>
                <w:sz w:val="24"/>
                <w:szCs w:val="24"/>
                <w:rtl w:val="0"/>
              </w:rPr>
              <w:t xml:space="preserve"> (4.ª ed.). Pearson.</w:t>
            </w:r>
          </w:p>
          <w:p w:rsidR="00000000" w:rsidDel="00000000" w:rsidP="00000000" w:rsidRDefault="00000000" w:rsidRPr="00000000" w14:paraId="00000413">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Venkatesh, V. (2000). Determinants of perceived ease of use: Integrating control, intrinsic motivation, and emotion into the technology acceptance model. </w:t>
            </w:r>
            <w:r w:rsidDel="00000000" w:rsidR="00000000" w:rsidRPr="00000000">
              <w:rPr>
                <w:rFonts w:ascii="Times New Roman" w:cs="Times New Roman" w:eastAsia="Times New Roman" w:hAnsi="Times New Roman"/>
                <w:i w:val="1"/>
                <w:iCs w:val="1"/>
                <w:sz w:val="24"/>
                <w:szCs w:val="24"/>
                <w:rtl w:val="0"/>
              </w:rPr>
              <w:t xml:space="preserve">Information Systems Research, 11</w:t>
            </w:r>
            <w:r w:rsidDel="00000000" w:rsidR="00000000" w:rsidRPr="00000000">
              <w:rPr>
                <w:rFonts w:ascii="Times New Roman" w:cs="Times New Roman" w:eastAsia="Times New Roman" w:hAnsi="Times New Roman"/>
                <w:sz w:val="24"/>
                <w:szCs w:val="24"/>
                <w:rtl w:val="0"/>
              </w:rPr>
              <w:t xml:space="preserve">(4), 342-365. https://doi.org/10.1287/isre.11.4.342.11872</w:t>
            </w:r>
          </w:p>
          <w:p w:rsidR="00000000" w:rsidDel="00000000" w:rsidP="00000000" w:rsidRDefault="00000000" w:rsidRPr="00000000" w14:paraId="00000414">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Venkatesh, V., &amp; Bala, H. (2008). Technology acceptance model 3 and a research agenda on interventions. </w:t>
            </w:r>
            <w:r w:rsidDel="00000000" w:rsidR="00000000" w:rsidRPr="00000000">
              <w:rPr>
                <w:rFonts w:ascii="Times New Roman" w:cs="Times New Roman" w:eastAsia="Times New Roman" w:hAnsi="Times New Roman"/>
                <w:i w:val="1"/>
                <w:iCs w:val="1"/>
                <w:sz w:val="24"/>
                <w:szCs w:val="24"/>
                <w:rtl w:val="0"/>
              </w:rPr>
              <w:t xml:space="preserve">Decision Sciences, 39</w:t>
            </w:r>
            <w:r w:rsidDel="00000000" w:rsidR="00000000" w:rsidRPr="00000000">
              <w:rPr>
                <w:rFonts w:ascii="Times New Roman" w:cs="Times New Roman" w:eastAsia="Times New Roman" w:hAnsi="Times New Roman"/>
                <w:sz w:val="24"/>
                <w:szCs w:val="24"/>
                <w:rtl w:val="0"/>
              </w:rPr>
              <w:t xml:space="preserve">(2), 273-315. https://doi.org/10.1111/j.1540-5915.2008.00192.x</w:t>
            </w:r>
          </w:p>
          <w:p w:rsidR="00000000" w:rsidDel="00000000" w:rsidP="00000000" w:rsidRDefault="00000000" w:rsidRPr="00000000" w14:paraId="00000415">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Venkatesh, V., &amp; Davis, F. D. (2000). A theoretical extension of the technology acceptance model: Four longitudinal field studies. </w:t>
            </w:r>
            <w:r w:rsidDel="00000000" w:rsidR="00000000" w:rsidRPr="00000000">
              <w:rPr>
                <w:rFonts w:ascii="Times New Roman" w:cs="Times New Roman" w:eastAsia="Times New Roman" w:hAnsi="Times New Roman"/>
                <w:i w:val="1"/>
                <w:iCs w:val="1"/>
                <w:sz w:val="24"/>
                <w:szCs w:val="24"/>
                <w:rtl w:val="0"/>
              </w:rPr>
              <w:t xml:space="preserve">Management Science, 46</w:t>
            </w:r>
            <w:r w:rsidDel="00000000" w:rsidR="00000000" w:rsidRPr="00000000">
              <w:rPr>
                <w:rFonts w:ascii="Times New Roman" w:cs="Times New Roman" w:eastAsia="Times New Roman" w:hAnsi="Times New Roman"/>
                <w:sz w:val="24"/>
                <w:szCs w:val="24"/>
                <w:rtl w:val="0"/>
              </w:rPr>
              <w:t xml:space="preserve">(2), 186-204. https://doi.org/10.1287/mnsc.46.2.186.11926</w:t>
            </w:r>
          </w:p>
          <w:p w:rsidR="00000000" w:rsidDel="00000000" w:rsidP="00000000" w:rsidRDefault="00000000" w:rsidRPr="00000000" w14:paraId="00000416">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Venkatesh, V., Morris, M. G., Davis, G. B., &amp; Davis, F. D. (2003). User acceptance of information technology: Toward a unified view. </w:t>
            </w:r>
            <w:r w:rsidDel="00000000" w:rsidR="00000000" w:rsidRPr="00000000">
              <w:rPr>
                <w:rFonts w:ascii="Times New Roman" w:cs="Times New Roman" w:eastAsia="Times New Roman" w:hAnsi="Times New Roman"/>
                <w:i w:val="1"/>
                <w:iCs w:val="1"/>
                <w:sz w:val="24"/>
                <w:szCs w:val="24"/>
                <w:rtl w:val="0"/>
              </w:rPr>
              <w:t xml:space="preserve">MIS Quarterly, 27</w:t>
            </w:r>
            <w:r w:rsidDel="00000000" w:rsidR="00000000" w:rsidRPr="00000000">
              <w:rPr>
                <w:rFonts w:ascii="Times New Roman" w:cs="Times New Roman" w:eastAsia="Times New Roman" w:hAnsi="Times New Roman"/>
                <w:sz w:val="24"/>
                <w:szCs w:val="24"/>
                <w:rtl w:val="0"/>
              </w:rPr>
              <w:t xml:space="preserve">(3), 425-478.</w:t>
            </w:r>
          </w:p>
          <w:p w:rsidR="00000000" w:rsidDel="00000000" w:rsidP="00000000" w:rsidRDefault="00000000" w:rsidRPr="00000000" w14:paraId="00000417">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Werbach, K., &amp; Hunter, D. (2012). </w:t>
            </w:r>
            <w:r w:rsidDel="00000000" w:rsidR="00000000" w:rsidRPr="00000000">
              <w:rPr>
                <w:rFonts w:ascii="Times New Roman" w:cs="Times New Roman" w:eastAsia="Times New Roman" w:hAnsi="Times New Roman"/>
                <w:i w:val="1"/>
                <w:iCs w:val="1"/>
                <w:sz w:val="24"/>
                <w:szCs w:val="24"/>
                <w:rtl w:val="0"/>
              </w:rPr>
              <w:t xml:space="preserve">For the win: How game thinking can revolutionize your business</w:t>
            </w:r>
            <w:r w:rsidDel="00000000" w:rsidR="00000000" w:rsidRPr="00000000">
              <w:rPr>
                <w:rFonts w:ascii="Times New Roman" w:cs="Times New Roman" w:eastAsia="Times New Roman" w:hAnsi="Times New Roman"/>
                <w:sz w:val="24"/>
                <w:szCs w:val="24"/>
                <w:rtl w:val="0"/>
              </w:rPr>
              <w:t xml:space="preserve">. Wharton Digital Press.</w:t>
            </w:r>
          </w:p>
          <w:p w:rsidR="00000000" w:rsidDel="00000000" w:rsidP="00000000" w:rsidRDefault="00000000" w:rsidRPr="00000000" w14:paraId="00000418">
            <w:pPr>
              <w:spacing w:after="80"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Wohlin, C., Runeson, P., Höst, M., Ohlsson, M. C., Regnell, B., &amp; Wesslén, A. (2012). </w:t>
            </w:r>
            <w:r w:rsidDel="00000000" w:rsidR="00000000" w:rsidRPr="00000000">
              <w:rPr>
                <w:rFonts w:ascii="Times New Roman" w:cs="Times New Roman" w:eastAsia="Times New Roman" w:hAnsi="Times New Roman"/>
                <w:i w:val="1"/>
                <w:iCs w:val="1"/>
                <w:sz w:val="24"/>
                <w:szCs w:val="24"/>
                <w:rtl w:val="0"/>
              </w:rPr>
              <w:t xml:space="preserve">Experimentation in software engineering</w:t>
            </w:r>
            <w:r w:rsidDel="00000000" w:rsidR="00000000" w:rsidRPr="00000000">
              <w:rPr>
                <w:rFonts w:ascii="Times New Roman" w:cs="Times New Roman" w:eastAsia="Times New Roman" w:hAnsi="Times New Roman"/>
                <w:sz w:val="24"/>
                <w:szCs w:val="24"/>
                <w:rtl w:val="0"/>
              </w:rPr>
              <w:t xml:space="preserve">. Springer. https://doi.org/10.1007/978-3-642-29044-2</w:t>
            </w:r>
          </w:p>
          <w:p w:rsidR="00000000" w:rsidDel="00000000" w:rsidP="00000000" w:rsidRDefault="00000000" w:rsidRPr="00000000" w14:paraId="00000419">
            <w:pPr>
              <w:spacing w:after="80" w:line="36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Zichermann, G., &amp; Cunningham, C. (2011). </w:t>
            </w:r>
            <w:r w:rsidDel="00000000" w:rsidR="00000000" w:rsidRPr="00000000">
              <w:rPr>
                <w:rFonts w:ascii="Times New Roman" w:cs="Times New Roman" w:eastAsia="Times New Roman" w:hAnsi="Times New Roman"/>
                <w:i w:val="1"/>
                <w:iCs w:val="1"/>
                <w:sz w:val="24"/>
                <w:szCs w:val="24"/>
                <w:rtl w:val="0"/>
              </w:rPr>
              <w:t xml:space="preserve">Gamification by design: Implementing game mechanics in web and mobile apps</w:t>
            </w:r>
            <w:r w:rsidDel="00000000" w:rsidR="00000000" w:rsidRPr="00000000">
              <w:rPr>
                <w:rFonts w:ascii="Times New Roman" w:cs="Times New Roman" w:eastAsia="Times New Roman" w:hAnsi="Times New Roman"/>
                <w:sz w:val="24"/>
                <w:szCs w:val="24"/>
                <w:rtl w:val="0"/>
              </w:rPr>
              <w:t xml:space="preserve">. O'Reilly Media.</w:t>
            </w:r>
            <w:r w:rsidDel="00000000" w:rsidR="00000000" w:rsidRPr="00000000">
              <w:rPr>
                <w:rtl w:val="0"/>
              </w:rPr>
            </w:r>
          </w:p>
        </w:tc>
      </w:tr>
    </w:tbl>
    <w:p w:rsidR="00000000" w:rsidDel="00000000" w:rsidP="00000000" w:rsidRDefault="00000000" w:rsidRPr="00000000" w14:paraId="0000041A">
      <w:pPr>
        <w:spacing w:line="360" w:lineRule="auto"/>
        <w:jc w:val="both"/>
        <w:rPr>
          <w:rFonts w:ascii="Times New Roman" w:cs="Times New Roman" w:eastAsia="Times New Roman" w:hAnsi="Times New Roman"/>
        </w:rPr>
      </w:pPr>
      <w:r w:rsidDel="00000000" w:rsidR="00000000" w:rsidRPr="00000000">
        <w:rPr>
          <w:rtl w:val="0"/>
        </w:rPr>
      </w:r>
    </w:p>
    <w:sectPr>
      <w:headerReference r:id="rId9" w:type="default"/>
      <w:footerReference r:id="rId10" w:type="default"/>
      <w:pgSz w:h="15840" w:w="12240" w:orient="portrait"/>
      <w:pgMar w:bottom="1417" w:top="1560" w:left="1701" w:right="1701" w:header="426" w:footer="1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C">
    <w:pPr>
      <w:widowControl w:val="0"/>
      <w:pBdr>
        <w:top w:space="0" w:sz="0" w:val="nil"/>
        <w:left w:space="0" w:sz="0" w:val="nil"/>
        <w:bottom w:space="0" w:sz="0" w:val="nil"/>
        <w:right w:space="0" w:sz="0" w:val="nil"/>
        <w:between w:space="0" w:sz="0" w:val="nil"/>
      </w:pBdr>
      <w:spacing w:after="0" w:line="276" w:lineRule="auto"/>
      <w:rPr>
        <w:color w:val="000000"/>
      </w:rPr>
    </w:pPr>
    <w:r w:rsidDel="00000000" w:rsidR="00000000" w:rsidRPr="00000000">
      <w:rPr>
        <w:rtl w:val="0"/>
      </w:rPr>
    </w:r>
  </w:p>
  <w:tbl>
    <w:tblPr>
      <w:tblStyle w:val="Table25"/>
      <w:tblW w:w="9605.0" w:type="dxa"/>
      <w:jc w:val="left"/>
      <w:tblLayout w:type="fixed"/>
      <w:tblLook w:val="0000"/>
    </w:tblPr>
    <w:tblGrid>
      <w:gridCol w:w="1165"/>
      <w:gridCol w:w="1947"/>
      <w:gridCol w:w="2767"/>
      <w:gridCol w:w="2025"/>
      <w:gridCol w:w="1701"/>
      <w:tblGridChange w:id="0">
        <w:tblGrid>
          <w:gridCol w:w="1165"/>
          <w:gridCol w:w="1947"/>
          <w:gridCol w:w="2767"/>
          <w:gridCol w:w="2025"/>
          <w:gridCol w:w="1701"/>
        </w:tblGrid>
      </w:tblGridChange>
    </w:tblGrid>
    <w:tr>
      <w:trPr>
        <w:cantSplit w:val="1"/>
        <w:trHeight w:val="203" w:hRule="atLeast"/>
        <w:tblHeader w:val="0"/>
      </w:trPr>
      <w:tc>
        <w:tcPr/>
        <w:p w:rsidR="00000000" w:rsidDel="00000000" w:rsidP="00000000" w:rsidRDefault="00000000" w:rsidRPr="00000000" w14:paraId="0000041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rFonts w:ascii="Arial" w:cs="Arial" w:eastAsia="Arial" w:hAnsi="Arial"/>
              <w:color w:val="404040"/>
              <w:sz w:val="16"/>
              <w:szCs w:val="16"/>
            </w:rPr>
          </w:pPr>
          <w:r w:rsidDel="00000000" w:rsidR="00000000" w:rsidRPr="00000000">
            <w:rPr>
              <w:rtl w:val="0"/>
            </w:rPr>
          </w:r>
        </w:p>
      </w:tc>
      <w:tc>
        <w:tcPr>
          <w:vAlign w:val="center"/>
        </w:tcPr>
        <w:p w:rsidR="00000000" w:rsidDel="00000000" w:rsidP="00000000" w:rsidRDefault="00000000" w:rsidRPr="00000000" w14:paraId="0000041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color w:val="404040"/>
              <w:sz w:val="16"/>
              <w:szCs w:val="16"/>
            </w:rPr>
          </w:pPr>
          <w:r w:rsidDel="00000000" w:rsidR="00000000" w:rsidRPr="00000000">
            <w:rPr>
              <w:rtl w:val="0"/>
            </w:rPr>
          </w:r>
        </w:p>
      </w:tc>
      <w:tc>
        <w:tcPr>
          <w:vAlign w:val="center"/>
        </w:tcPr>
        <w:p w:rsidR="00000000" w:rsidDel="00000000" w:rsidP="00000000" w:rsidRDefault="00000000" w:rsidRPr="00000000" w14:paraId="0000041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color w:val="404040"/>
              <w:sz w:val="16"/>
              <w:szCs w:val="16"/>
            </w:rPr>
          </w:pPr>
          <w:r w:rsidDel="00000000" w:rsidR="00000000" w:rsidRPr="00000000">
            <w:rPr>
              <w:rtl w:val="0"/>
            </w:rPr>
          </w:r>
        </w:p>
      </w:tc>
      <w:tc>
        <w:tcPr>
          <w:vAlign w:val="center"/>
        </w:tcPr>
        <w:p w:rsidR="00000000" w:rsidDel="00000000" w:rsidP="00000000" w:rsidRDefault="00000000" w:rsidRPr="00000000" w14:paraId="0000042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color w:val="404040"/>
              <w:sz w:val="16"/>
              <w:szCs w:val="16"/>
            </w:rPr>
          </w:pPr>
          <w:r w:rsidDel="00000000" w:rsidR="00000000" w:rsidRPr="00000000">
            <w:rPr>
              <w:rtl w:val="0"/>
            </w:rPr>
          </w:r>
        </w:p>
      </w:tc>
      <w:tc>
        <w:tcPr/>
        <w:p w:rsidR="00000000" w:rsidDel="00000000" w:rsidP="00000000" w:rsidRDefault="00000000" w:rsidRPr="00000000" w14:paraId="0000042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rFonts w:ascii="Arial" w:cs="Arial" w:eastAsia="Arial" w:hAnsi="Arial"/>
              <w:color w:val="404040"/>
              <w:sz w:val="20"/>
              <w:szCs w:val="20"/>
            </w:rPr>
          </w:pPr>
          <w:r w:rsidDel="00000000" w:rsidR="00000000" w:rsidRPr="00000000">
            <w:rPr>
              <w:rtl w:val="0"/>
            </w:rPr>
          </w:r>
        </w:p>
      </w:tc>
    </w:tr>
    <w:tr>
      <w:trPr>
        <w:cantSplit w:val="1"/>
        <w:trHeight w:val="203" w:hRule="atLeast"/>
        <w:tblHeader w:val="0"/>
      </w:trPr>
      <w:tc>
        <w:tcPr>
          <w:vMerge w:val="restart"/>
        </w:tcPr>
        <w:p w:rsidR="00000000" w:rsidDel="00000000" w:rsidP="00000000" w:rsidRDefault="00000000" w:rsidRPr="00000000" w14:paraId="0000042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rFonts w:ascii="Arial" w:cs="Arial" w:eastAsia="Arial" w:hAnsi="Arial"/>
              <w:color w:val="404040"/>
              <w:sz w:val="16"/>
              <w:szCs w:val="16"/>
            </w:rPr>
          </w:pPr>
          <w:r w:rsidDel="00000000" w:rsidR="00000000" w:rsidRPr="00000000">
            <w:rPr>
              <w:rFonts w:ascii="Arial" w:cs="Arial" w:eastAsia="Arial" w:hAnsi="Arial"/>
              <w:color w:val="808080"/>
              <w:sz w:val="16"/>
              <w:szCs w:val="16"/>
              <w:rtl w:val="0"/>
            </w:rPr>
            <w:t xml:space="preserve">GI-F-14</w:t>
          </w:r>
          <w:r w:rsidDel="00000000" w:rsidR="00000000" w:rsidRPr="00000000">
            <w:rPr>
              <w:rtl w:val="0"/>
            </w:rPr>
          </w:r>
        </w:p>
      </w:tc>
      <w:tc>
        <w:tcPr>
          <w:vAlign w:val="center"/>
        </w:tcPr>
        <w:p w:rsidR="00000000" w:rsidDel="00000000" w:rsidP="00000000" w:rsidRDefault="00000000" w:rsidRPr="00000000" w14:paraId="0000042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color w:val="404040"/>
              <w:sz w:val="16"/>
              <w:szCs w:val="16"/>
            </w:rPr>
          </w:pPr>
          <w:r w:rsidDel="00000000" w:rsidR="00000000" w:rsidRPr="00000000">
            <w:rPr>
              <w:rFonts w:ascii="Arial" w:cs="Arial" w:eastAsia="Arial" w:hAnsi="Arial"/>
              <w:color w:val="404040"/>
              <w:sz w:val="16"/>
              <w:szCs w:val="16"/>
              <w:rtl w:val="0"/>
            </w:rPr>
            <w:t xml:space="preserve">Arleth Valdeblánquez.</w:t>
          </w:r>
        </w:p>
      </w:tc>
      <w:tc>
        <w:tcPr>
          <w:vAlign w:val="center"/>
        </w:tcPr>
        <w:p w:rsidR="00000000" w:rsidDel="00000000" w:rsidP="00000000" w:rsidRDefault="00000000" w:rsidRPr="00000000" w14:paraId="0000042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color w:val="404040"/>
              <w:sz w:val="16"/>
              <w:szCs w:val="16"/>
            </w:rPr>
          </w:pPr>
          <w:r w:rsidDel="00000000" w:rsidR="00000000" w:rsidRPr="00000000">
            <w:rPr>
              <w:rFonts w:ascii="Arial" w:cs="Arial" w:eastAsia="Arial" w:hAnsi="Arial"/>
              <w:color w:val="404040"/>
              <w:sz w:val="16"/>
              <w:szCs w:val="16"/>
              <w:rtl w:val="0"/>
            </w:rPr>
            <w:t xml:space="preserve">Sulmira Medina P</w:t>
          </w:r>
        </w:p>
      </w:tc>
      <w:tc>
        <w:tcPr>
          <w:vAlign w:val="center"/>
        </w:tcPr>
        <w:p w:rsidR="00000000" w:rsidDel="00000000" w:rsidP="00000000" w:rsidRDefault="00000000" w:rsidRPr="00000000" w14:paraId="0000042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color w:val="404040"/>
              <w:sz w:val="16"/>
              <w:szCs w:val="16"/>
            </w:rPr>
          </w:pPr>
          <w:r w:rsidDel="00000000" w:rsidR="00000000" w:rsidRPr="00000000">
            <w:rPr>
              <w:rFonts w:ascii="Arial" w:cs="Arial" w:eastAsia="Arial" w:hAnsi="Arial"/>
              <w:color w:val="404040"/>
              <w:sz w:val="16"/>
              <w:szCs w:val="16"/>
              <w:rtl w:val="0"/>
            </w:rPr>
            <w:t xml:space="preserve">Carlos M. Márquez</w:t>
          </w:r>
        </w:p>
      </w:tc>
      <w:tc>
        <w:tcPr>
          <w:vMerge w:val="restart"/>
        </w:tcPr>
        <w:p w:rsidR="00000000" w:rsidDel="00000000" w:rsidP="00000000" w:rsidRDefault="00000000" w:rsidRPr="00000000" w14:paraId="0000042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rFonts w:ascii="Arial" w:cs="Arial" w:eastAsia="Arial" w:hAnsi="Arial"/>
              <w:color w:val="404040"/>
              <w:sz w:val="20"/>
              <w:szCs w:val="20"/>
            </w:rPr>
          </w:pPr>
          <w:r w:rsidDel="00000000" w:rsidR="00000000" w:rsidRPr="00000000">
            <w:rPr>
              <w:rFonts w:ascii="Arial" w:cs="Arial" w:eastAsia="Arial" w:hAnsi="Arial"/>
              <w:color w:val="404040"/>
              <w:sz w:val="20"/>
              <w:szCs w:val="20"/>
              <w:rtl w:val="0"/>
            </w:rPr>
            <w:t xml:space="preserve">Página </w:t>
          </w:r>
          <w:r w:rsidDel="00000000" w:rsidR="00000000" w:rsidRPr="00000000">
            <w:rPr>
              <w:rFonts w:ascii="Arial" w:cs="Arial" w:eastAsia="Arial" w:hAnsi="Arial"/>
              <w:color w:val="404040"/>
              <w:sz w:val="20"/>
              <w:szCs w:val="20"/>
            </w:rPr>
            <w:fldChar w:fldCharType="begin"/>
            <w:instrText xml:space="preserve">PAGE</w:instrText>
            <w:fldChar w:fldCharType="separate"/>
            <w:fldChar w:fldCharType="end"/>
          </w:r>
          <w:r w:rsidDel="00000000" w:rsidR="00000000" w:rsidRPr="00000000">
            <w:rPr>
              <w:rFonts w:ascii="Arial" w:cs="Arial" w:eastAsia="Arial" w:hAnsi="Arial"/>
              <w:color w:val="404040"/>
              <w:sz w:val="20"/>
              <w:szCs w:val="20"/>
              <w:rtl w:val="0"/>
            </w:rPr>
            <w:t xml:space="preserve"> de </w:t>
          </w:r>
          <w:r w:rsidDel="00000000" w:rsidR="00000000" w:rsidRPr="00000000">
            <w:rPr>
              <w:rFonts w:ascii="Arial" w:cs="Arial" w:eastAsia="Arial" w:hAnsi="Arial"/>
              <w:color w:val="404040"/>
              <w:sz w:val="20"/>
              <w:szCs w:val="2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rFonts w:ascii="Arial" w:cs="Arial" w:eastAsia="Arial" w:hAnsi="Arial"/>
              <w:color w:val="404040"/>
              <w:sz w:val="12"/>
              <w:szCs w:val="12"/>
            </w:rPr>
          </w:pPr>
          <w:r w:rsidDel="00000000" w:rsidR="00000000" w:rsidRPr="00000000">
            <w:rPr>
              <w:rFonts w:ascii="Arial" w:cs="Arial" w:eastAsia="Arial" w:hAnsi="Arial"/>
              <w:color w:val="404040"/>
              <w:sz w:val="12"/>
              <w:szCs w:val="12"/>
              <w:rtl w:val="0"/>
            </w:rPr>
            <w:t xml:space="preserve">REV.7 / NOV/ 22</w:t>
          </w:r>
        </w:p>
      </w:tc>
    </w:tr>
    <w:tr>
      <w:trPr>
        <w:cantSplit w:val="1"/>
        <w:trHeight w:val="95" w:hRule="atLeast"/>
        <w:tblHeader w:val="0"/>
      </w:trPr>
      <w:tc>
        <w:tcPr>
          <w:vMerge w:val="continue"/>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04040"/>
              <w:sz w:val="12"/>
              <w:szCs w:val="12"/>
            </w:rPr>
          </w:pPr>
          <w:r w:rsidDel="00000000" w:rsidR="00000000" w:rsidRPr="00000000">
            <w:rPr>
              <w:rtl w:val="0"/>
            </w:rPr>
          </w:r>
        </w:p>
      </w:tc>
      <w:tc>
        <w:tcPr>
          <w:vAlign w:val="center"/>
        </w:tcPr>
        <w:p w:rsidR="00000000" w:rsidDel="00000000" w:rsidP="00000000" w:rsidRDefault="00000000" w:rsidRPr="00000000" w14:paraId="0000042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b w:val="1"/>
              <w:bCs w:val="1"/>
              <w:color w:val="404040"/>
              <w:sz w:val="16"/>
              <w:szCs w:val="16"/>
            </w:rPr>
          </w:pPr>
          <w:r w:rsidDel="00000000" w:rsidR="00000000" w:rsidRPr="00000000">
            <w:rPr>
              <w:rFonts w:ascii="Arial" w:cs="Arial" w:eastAsia="Arial" w:hAnsi="Arial"/>
              <w:b w:val="1"/>
              <w:bCs w:val="1"/>
              <w:color w:val="404040"/>
              <w:sz w:val="16"/>
              <w:szCs w:val="16"/>
              <w:rtl w:val="0"/>
            </w:rPr>
            <w:t xml:space="preserve">ELABORÓ</w:t>
          </w:r>
        </w:p>
      </w:tc>
      <w:tc>
        <w:tcPr>
          <w:vAlign w:val="center"/>
        </w:tcPr>
        <w:p w:rsidR="00000000" w:rsidDel="00000000" w:rsidP="00000000" w:rsidRDefault="00000000" w:rsidRPr="00000000" w14:paraId="0000042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b w:val="1"/>
              <w:bCs w:val="1"/>
              <w:color w:val="404040"/>
              <w:sz w:val="16"/>
              <w:szCs w:val="16"/>
            </w:rPr>
          </w:pPr>
          <w:r w:rsidDel="00000000" w:rsidR="00000000" w:rsidRPr="00000000">
            <w:rPr>
              <w:rFonts w:ascii="Arial" w:cs="Arial" w:eastAsia="Arial" w:hAnsi="Arial"/>
              <w:b w:val="1"/>
              <w:bCs w:val="1"/>
              <w:color w:val="404040"/>
              <w:sz w:val="16"/>
              <w:szCs w:val="16"/>
              <w:rtl w:val="0"/>
            </w:rPr>
            <w:t xml:space="preserve">REVISÓ</w:t>
          </w:r>
        </w:p>
      </w:tc>
      <w:tc>
        <w:tcPr>
          <w:vAlign w:val="center"/>
        </w:tcPr>
        <w:p w:rsidR="00000000" w:rsidDel="00000000" w:rsidP="00000000" w:rsidRDefault="00000000" w:rsidRPr="00000000" w14:paraId="0000042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rFonts w:ascii="Arial" w:cs="Arial" w:eastAsia="Arial" w:hAnsi="Arial"/>
              <w:b w:val="1"/>
              <w:bCs w:val="1"/>
              <w:color w:val="404040"/>
              <w:sz w:val="16"/>
              <w:szCs w:val="16"/>
            </w:rPr>
          </w:pPr>
          <w:r w:rsidDel="00000000" w:rsidR="00000000" w:rsidRPr="00000000">
            <w:rPr>
              <w:rFonts w:ascii="Arial" w:cs="Arial" w:eastAsia="Arial" w:hAnsi="Arial"/>
              <w:b w:val="1"/>
              <w:bCs w:val="1"/>
              <w:color w:val="404040"/>
              <w:sz w:val="16"/>
              <w:szCs w:val="16"/>
              <w:rtl w:val="0"/>
            </w:rPr>
            <w:t xml:space="preserve">APROBÓ</w:t>
          </w:r>
        </w:p>
      </w:tc>
      <w:tc>
        <w:tcPr>
          <w:vMerge w:val="continue"/>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404040"/>
              <w:sz w:val="16"/>
              <w:szCs w:val="16"/>
            </w:rPr>
          </w:pPr>
          <w:r w:rsidDel="00000000" w:rsidR="00000000" w:rsidRPr="00000000">
            <w:rPr>
              <w:rtl w:val="0"/>
            </w:rPr>
          </w:r>
        </w:p>
      </w:tc>
    </w:tr>
  </w:tbl>
  <w:p w:rsidR="00000000" w:rsidDel="00000000" w:rsidP="00000000" w:rsidRDefault="00000000" w:rsidRPr="00000000" w14:paraId="0000042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B">
    <w:pPr>
      <w:pBdr>
        <w:top w:space="0" w:sz="0" w:val="nil"/>
        <w:left w:space="0" w:sz="0" w:val="nil"/>
        <w:bottom w:space="0" w:sz="0" w:val="nil"/>
        <w:right w:space="0" w:sz="0" w:val="nil"/>
        <w:between w:space="0" w:sz="0" w:val="nil"/>
      </w:pBdr>
      <w:tabs>
        <w:tab w:val="center" w:leader="none" w:pos="4419"/>
        <w:tab w:val="right" w:leader="none" w:pos="8838"/>
        <w:tab w:val="left" w:leader="none" w:pos="1976"/>
      </w:tabs>
      <w:spacing w:after="0" w:line="240" w:lineRule="auto"/>
      <w:jc w:val="right"/>
      <w:rPr>
        <w:color w:val="000000"/>
      </w:rPr>
    </w:pPr>
    <w:r w:rsidDel="00000000" w:rsidR="00000000" w:rsidRPr="00000000">
      <w:rPr>
        <w:color w:val="000000"/>
        <w:rtl w:val="0"/>
      </w:rPr>
      <w:tab/>
    </w:r>
    <w:r w:rsidDel="00000000" w:rsidR="00000000" w:rsidRPr="00000000">
      <w:drawing>
        <wp:anchor allowOverlap="1" behindDoc="1" distB="0" distT="0" distL="0" distR="0" hidden="0" layoutInCell="1" locked="0" relativeHeight="0" simplePos="0">
          <wp:simplePos x="0" y="0"/>
          <wp:positionH relativeFrom="column">
            <wp:posOffset>-1080130</wp:posOffset>
          </wp:positionH>
          <wp:positionV relativeFrom="paragraph">
            <wp:posOffset>-276167</wp:posOffset>
          </wp:positionV>
          <wp:extent cx="393405" cy="10348595"/>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93405" cy="1034859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-866771</wp:posOffset>
              </wp:positionH>
              <wp:positionV relativeFrom="paragraph">
                <wp:posOffset>2667002</wp:posOffset>
              </wp:positionV>
              <wp:extent cx="515303" cy="3752850"/>
              <wp:effectExtent b="0" l="0" r="0" t="0"/>
              <wp:wrapNone/>
              <wp:docPr id="4" name=""/>
              <a:graphic>
                <a:graphicData uri="http://schemas.microsoft.com/office/word/2010/wordprocessingShape">
                  <wps:wsp>
                    <wps:cNvSpPr/>
                    <wps:cNvPr id="2" name="Shape 2"/>
                    <wps:spPr>
                      <a:xfrm rot="-5400000">
                        <a:off x="3006561" y="3601870"/>
                        <a:ext cx="4678878" cy="35626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595959"/>
                              <w:sz w:val="22"/>
                              <w:vertAlign w:val="baseline"/>
                            </w:rPr>
                            <w:t xml:space="preserve">DOCUMENTO CONTROLADO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-866771</wp:posOffset>
              </wp:positionH>
              <wp:positionV relativeFrom="paragraph">
                <wp:posOffset>2667002</wp:posOffset>
              </wp:positionV>
              <wp:extent cx="515303" cy="3752850"/>
              <wp:effectExtent b="0" l="0" r="0" t="0"/>
              <wp:wrapNone/>
              <wp:docPr id="4"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515303" cy="3752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-38097</wp:posOffset>
              </wp:positionH>
              <wp:positionV relativeFrom="paragraph">
                <wp:posOffset>-114297</wp:posOffset>
              </wp:positionV>
              <wp:extent cx="6165850" cy="736600"/>
              <wp:effectExtent b="0" l="0" r="0" t="0"/>
              <wp:wrapNone/>
              <wp:docPr id="5" name=""/>
              <a:graphic>
                <a:graphicData uri="http://schemas.microsoft.com/office/word/2010/wordprocessingGroup">
                  <wpg:wgp>
                    <wpg:cNvGrpSpPr/>
                    <wpg:grpSpPr>
                      <a:xfrm>
                        <a:off x="2263075" y="3411700"/>
                        <a:ext cx="6165850" cy="736600"/>
                        <a:chOff x="2263075" y="3411700"/>
                        <a:chExt cx="6165850" cy="736600"/>
                      </a:xfrm>
                    </wpg:grpSpPr>
                    <wpg:grpSp>
                      <wpg:cNvGrpSpPr/>
                      <wpg:grpSpPr>
                        <a:xfrm>
                          <a:off x="2263075" y="3411700"/>
                          <a:ext cx="6165850" cy="736600"/>
                          <a:chOff x="2263075" y="3411675"/>
                          <a:chExt cx="6165850" cy="736650"/>
                        </a:xfrm>
                      </wpg:grpSpPr>
                      <wps:wsp>
                        <wps:cNvSpPr/>
                        <wps:cNvPr id="4" name="Shape 4"/>
                        <wps:spPr>
                          <a:xfrm>
                            <a:off x="2263075" y="3411675"/>
                            <a:ext cx="6165850" cy="736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63075" y="3411700"/>
                            <a:ext cx="6165850" cy="736600"/>
                            <a:chOff x="2263000" y="3411175"/>
                            <a:chExt cx="6166000" cy="737650"/>
                          </a:xfrm>
                        </wpg:grpSpPr>
                        <wps:wsp>
                          <wps:cNvSpPr/>
                          <wps:cNvPr id="6" name="Shape 6"/>
                          <wps:spPr>
                            <a:xfrm>
                              <a:off x="2263000" y="3411175"/>
                              <a:ext cx="6166000" cy="73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63075" y="3411700"/>
                              <a:ext cx="6165850" cy="736600"/>
                              <a:chOff x="2248775" y="3397400"/>
                              <a:chExt cx="6194450" cy="765200"/>
                            </a:xfrm>
                          </wpg:grpSpPr>
                          <wps:wsp>
                            <wps:cNvSpPr/>
                            <wps:cNvPr id="8" name="Shape 8"/>
                            <wps:spPr>
                              <a:xfrm>
                                <a:off x="2248775" y="3397400"/>
                                <a:ext cx="6194450" cy="76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63075" y="3411700"/>
                                <a:ext cx="6165850" cy="736600"/>
                                <a:chOff x="0" y="0"/>
                                <a:chExt cx="6018027" cy="712381"/>
                              </a:xfrm>
                            </wpg:grpSpPr>
                            <wps:wsp>
                              <wps:cNvSpPr/>
                              <wps:cNvPr id="10" name="Shape 10"/>
                              <wps:spPr>
                                <a:xfrm>
                                  <a:off x="0" y="0"/>
                                  <a:ext cx="6018025" cy="712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169581" y="202019"/>
                                  <a:ext cx="3873363" cy="26543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Arial" w:cs="Arial" w:eastAsia="Arial" w:hAnsi="Arial"/>
                                        <w:b w:val="1"/>
                                        <w:i w:val="0"/>
                                        <w:smallCaps w:val="0"/>
                                        <w:strike w:val="0"/>
                                        <w:color w:val="808080"/>
                                        <w:sz w:val="24"/>
                                        <w:vertAlign w:val="baseline"/>
                                      </w:rPr>
                                      <w:t xml:space="preserve">PROPUESTA DE INVESTIGACIÓN</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Arial" w:cs="Arial" w:eastAsia="Arial" w:hAnsi="Arial"/>
                                        <w:b w:val="1"/>
                                        <w:i w:val="0"/>
                                        <w:smallCaps w:val="0"/>
                                        <w:strike w:val="0"/>
                                        <w:color w:val="808080"/>
                                        <w:sz w:val="24"/>
                                        <w:vertAlign w:val="baseline"/>
                                      </w:rPr>
                                    </w:r>
                                  </w:p>
                                </w:txbxContent>
                              </wps:txbx>
                              <wps:bodyPr anchorCtr="0" anchor="t" bIns="45700" lIns="91425" spcFirstLastPara="1" rIns="91425" wrap="square" tIns="45700">
                                <a:noAutofit/>
                              </wps:bodyPr>
                            </wps:wsp>
                            <wpg:grpSp>
                              <wpg:cNvGrpSpPr/>
                              <wpg:grpSpPr>
                                <a:xfrm>
                                  <a:off x="0" y="0"/>
                                  <a:ext cx="6018027" cy="712381"/>
                                  <a:chOff x="0" y="0"/>
                                  <a:chExt cx="8056179" cy="1182414"/>
                                </a:xfrm>
                              </wpg:grpSpPr>
                              <wps:wsp>
                                <wps:cNvSpPr/>
                                <wps:cNvPr id="13" name="Shape 13"/>
                                <wps:spPr>
                                  <a:xfrm>
                                    <a:off x="0" y="0"/>
                                    <a:ext cx="8056179" cy="1182414"/>
                                  </a:xfrm>
                                  <a:prstGeom prst="roundRect">
                                    <a:avLst>
                                      <a:gd fmla="val 16667" name="adj"/>
                                    </a:avLst>
                                  </a:prstGeom>
                                  <a:noFill/>
                                  <a:ln cap="flat" cmpd="sng" w="28575">
                                    <a:solidFill>
                                      <a:srgbClr val="FF7171"/>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 name="Shape 14"/>
                                  <pic:cNvPicPr preferRelativeResize="0"/>
                                </pic:nvPicPr>
                                <pic:blipFill rotWithShape="1">
                                  <a:blip r:embed="rId3">
                                    <a:alphaModFix/>
                                  </a:blip>
                                  <a:srcRect b="22331" l="11763" r="74951" t="23969"/>
                                  <a:stretch/>
                                </pic:blipFill>
                                <pic:spPr>
                                  <a:xfrm>
                                    <a:off x="0" y="157655"/>
                                    <a:ext cx="1560786" cy="914399"/>
                                  </a:xfrm>
                                  <a:prstGeom prst="rect">
                                    <a:avLst/>
                                  </a:prstGeom>
                                  <a:noFill/>
                                  <a:ln>
                                    <a:noFill/>
                                  </a:ln>
                                </pic:spPr>
                              </pic:pic>
                              <pic:pic>
                                <pic:nvPicPr>
                                  <pic:cNvPr id="15" name="Shape 15"/>
                                  <pic:cNvPicPr preferRelativeResize="0"/>
                                </pic:nvPicPr>
                                <pic:blipFill rotWithShape="1">
                                  <a:blip r:embed="rId4">
                                    <a:alphaModFix/>
                                  </a:blip>
                                  <a:srcRect b="0" l="0" r="0" t="0"/>
                                  <a:stretch/>
                                </pic:blipFill>
                                <pic:spPr>
                                  <a:xfrm>
                                    <a:off x="6926474" y="157655"/>
                                    <a:ext cx="976369" cy="772511"/>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-38097</wp:posOffset>
              </wp:positionH>
              <wp:positionV relativeFrom="paragraph">
                <wp:posOffset>-114297</wp:posOffset>
              </wp:positionV>
              <wp:extent cx="6165850" cy="736600"/>
              <wp:effectExtent b="0" l="0" r="0" t="0"/>
              <wp:wrapNone/>
              <wp:docPr id="5"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6165850" cy="7366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9.%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3.%1."/>
      <w:lvlJc w:val="right"/>
      <w:pPr>
        <w:ind w:left="1440" w:hanging="360"/>
      </w:pPr>
      <w:rPr>
        <w:rFonts w:ascii="Arial" w:cs="Arial" w:eastAsia="Arial" w:hAnsi="Arial"/>
        <w:b w:val="1"/>
        <w:bCs w:val="1"/>
        <w:sz w:val="30"/>
        <w:szCs w:val="30"/>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8.%1."/>
      <w:lvlJc w:val="right"/>
      <w:pPr>
        <w:ind w:left="1440" w:hanging="360"/>
      </w:pPr>
      <w:rPr>
        <w:rFonts w:ascii="Arial" w:cs="Arial" w:eastAsia="Arial" w:hAnsi="Arial"/>
        <w:b w:val="1"/>
        <w:bCs w:val="1"/>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6">
    <w:lvl w:ilvl="0">
      <w:start w:val="1"/>
      <w:numFmt w:val="decimal"/>
      <w:lvlText w:val="%1."/>
      <w:lvlJc w:val="left"/>
      <w:pPr>
        <w:ind w:left="360" w:hanging="360"/>
      </w:pPr>
      <w:rPr>
        <w:rFonts w:ascii="Times New Roman" w:cs="Times New Roman" w:eastAsia="Times New Roman" w:hAnsi="Times New Roman"/>
        <w:b w:val="1"/>
        <w:bCs w:val="1"/>
        <w:color w:val="000000"/>
        <w:sz w:val="24"/>
        <w:szCs w:val="24"/>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1"/>
      <w:numFmt w:val="decimal"/>
      <w:lvlText w:val="7.%1."/>
      <w:lvlJc w:val="lef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decimal"/>
      <w:lvlText w:val="11.%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9">
    <w:lvl w:ilvl="0">
      <w:start w:val="1"/>
      <w:numFmt w:val="decimal"/>
      <w:lvlText w:val="10.%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15.0" w:type="dxa"/>
        <w:bottom w:w="0.0" w:type="dxa"/>
        <w:right w:w="115.0" w:type="dxa"/>
      </w:tblCellMar>
    </w:tblPr>
  </w:style>
  <w:style w:type="table" w:styleId="a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7"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15.0" w:type="dxa"/>
        <w:bottom w:w="0.0" w:type="dxa"/>
        <w:right w:w="115.0" w:type="dxa"/>
      </w:tblCellMar>
    </w:tblPr>
  </w:style>
  <w:style w:type="table" w:styleId="a9"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15.0" w:type="dxa"/>
        <w:bottom w:w="0.0" w:type="dxa"/>
        <w:right w:w="115.0" w:type="dxa"/>
      </w:tblCellMar>
    </w:tblPr>
  </w:style>
  <w:style w:type="table" w:styleId="ac"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15.0" w:type="dxa"/>
        <w:bottom w:w="0.0" w:type="dxa"/>
        <w:right w:w="115.0" w:type="dxa"/>
      </w:tblCellMar>
    </w:tblPr>
  </w:style>
  <w:style w:type="table" w:styleId="ae" w:customStyle="1">
    <w:basedOn w:val="TableNormal"/>
    <w:tblPr>
      <w:tblStyleRowBandSize w:val="1"/>
      <w:tblStyleColBandSize w:val="1"/>
      <w:tblCellMar>
        <w:top w:w="0.0" w:type="dxa"/>
        <w:left w:w="115.0" w:type="dxa"/>
        <w:bottom w:w="0.0" w:type="dxa"/>
        <w:right w:w="115.0" w:type="dxa"/>
      </w:tblCellMar>
    </w:tblPr>
  </w:style>
  <w:style w:type="table" w:styleId="af"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0" w:customStyle="1">
    <w:basedOn w:val="TableNormal"/>
    <w:tblPr>
      <w:tblStyleRowBandSize w:val="1"/>
      <w:tblStyleColBandSize w:val="1"/>
      <w:tblCellMar>
        <w:top w:w="0.0" w:type="dxa"/>
        <w:left w:w="107.0" w:type="dxa"/>
        <w:bottom w:w="0.0" w:type="dxa"/>
        <w:right w:w="107.0" w:type="dxa"/>
      </w:tblCellMar>
    </w:tblPr>
  </w:style>
  <w:style w:type="paragraph" w:styleId="NormalWeb">
    <w:name w:val="Normal (Web)"/>
    <w:basedOn w:val="Normal"/>
    <w:uiPriority w:val="99"/>
    <w:unhideWhenUsed w:val="1"/>
    <w:rsid w:val="00A65DD4"/>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Prrafodelista">
    <w:name w:val="List Paragraph"/>
    <w:basedOn w:val="Normal"/>
    <w:uiPriority w:val="34"/>
    <w:qFormat w:val="1"/>
    <w:rsid w:val="00FC14E5"/>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7.0" w:type="dxa"/>
        <w:bottom w:w="0.0" w:type="dxa"/>
        <w:right w:w="10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8KMWr7NdzGHQjCe/ulB8xvDKHw==">CgMxLjAaJwoBMBIiCiAIBCocCgtBQUFDRy1GVDFoOBAIGgtBQUFDRy1GVDFoOBonCgExEiIKIAgEKhwKC0FBQUNHLUZUMWlnEAgaC0FBQUNHLUZUMWlnGicKATISIgogCAQqHAoLQUFBQ0ctRlQxaWsQCBoLQUFBQ0ctRlQxaWsaJwoBMxIiCiAIBCocCgtBQUFDRy1GVDFpdxAIGgtBQUFDRy1GVDFpdxonCgE0EiIKIAgEKhwKC0FBQUNHLUZUMWkwEAgaC0FBQUNHLUZUMWkwGh8KATUSGgoYCAlSFAoSdGFibGUuNHdxOHN5OW02amJ3Gh8KATYSGgoYCAlSFAoSdGFibGUua3Frd2hvZXdqamloGh8KATcSGgoYCAlSFAoSdGFibGUudXZkZzd3eWwwdTJrGicKATgSIgogCAQqHAoLQUFBQ0ctRlQxaTQQCBoLQUFBQ0ctRlQxaTQaHwoBORIaChgICVIUChJ0YWJsZS5kMzlxdGoybWZ4ZW8aIAoCMTASGgoYCAlSFAoSdGFibGUuYjRxMnRtM2d1cDNyGigKAjExEiIKIAgEKhwKC0FBQUNHLUZUMWpBEAgaC0FBQUNHLUZUMWpBGigKAjEyEiIKIAgEKhwKC0FBQUNHLUZUMWk4EAgaC0FBQUNHLUZUMWk4GiAKAjEzEhoKGAgJUhQKEnRhYmxlLnR4eXNucTRwNnZtNxofCgIxNBIZChcICVITChF0YWJsZS5qZ3RnaGhocDllbhogCgIxNRIaChgICVIUChJ0YWJsZS5mYXJ2c2g3b3Q5OTkaIAoCMTYSGgoYCAlSFAoSdGFibGUuMmxwZXRpdnpqZTRsGiAKAjE3EhoKGAgJUhQKEnRhYmxlLncwZzU0OHE2d3dqNRogCgIxOBIaChgICVIUChJ0YWJsZS42bmp4MzVkdm05NXEivgIKC0FBQUNHLUZUMWg4Eo4CCgtBQUFDRy1GVDFoOBILQUFBQ0ctRlQxaDgaLQoJdGV4dC9odG1sEiBNb2R1bGFyLCBjdWFsIGRlc2Fjb3BsYWRhLCBsb2NvbiIuCgp0ZXh0L3BsYWluEiBNb2R1bGFyLCBjdWFsIGRlc2Fjb3BsYWRhLCBsb2NvbiobIhUxMTE3MDg0ODA5NTM3OTUzMDEyNjEoADgAMOPfuouVNDjj37qLlTRKJgoKdGV4dC9wbGFpbhIYYXJxdWl0ZWN0dXJhIGRlc2Fjb3BsYWRhWgxvdTBrbHJ4cXRkc3VyAiAAeACaAQYIABAAGACqASISIE1vZHVsYXIsIGN1YWwgZGVzYWNvcGxhZGEsIGxvY29uGOPfuouVNCDj37qLlTRCEGtpeC4yYW9mMDlzNmR2MGUi3gQKC0FBQUNHLUZUMWlnEq4ECgtBQUFDRy1GVDFpZxILQUFBQ0ctRlQxaWcaPAoJdGV4dC9odG1sEi9ubyBzZSBsYSBwdWVkZXMgbWV0ZXIgcG9yIGxvcyAzIGh1ZWNvcyBhIGxhIHZleiI9Cgp0ZXh0L3BsYWluEi9ubyBzZSBsYSBwdWVkZXMgbWV0ZXIgcG9yIGxvcyAzIGh1ZWNvcyBhIGxhIHZleiobIhUxMTE3MDg0ODA5NTM3OTUzMDEyNjEoADgAMJWhz4uVNDiVoc+LlTRKmAIKCnRleHQvcGxhaW4SiQJEaXNlw7FhciBsYSBhcnF1aXRlY3R1cmEgZGVsIHNvZnR3YXJlLCBlbCBtb2RlbG8gZGUgZGF0b3MgeSBsYXMgaW50ZXJmYWNlcyBkZSB1c3VhcmlvLCBnYXJhbnRpemFuZG8gZWwgYWlzbGFtaWVudG8gbMOzZ2ljbyBkZSBsYSBpbmZvcm1hY2nDs24gZW50cmUgaW5zdGl0dWNpb25lcywgdW5hIGludGVyZmF6IGFkYXB0YWJsZSBhIGRpc3RpbnRvcyBkaXNwb3NpdGl2b3MgeSBsYSBpbnRlZ3JhY2nDs24gc2VndXJhIGRlIGxhIGludGVsaWdlbmNpYSBhcnRpZmljaWFsWgxyb3VveWVvb3U2NWpyAiAAeACaAQYIABAAGACqATESL25vIHNlIGxhIHB1ZWRlcyBtZXRlciBwb3IgbG9zIDMgaHVlY29zIGEgbGEgdmV6GJWhz4uVNCCVoc+LlTRCEGtpeC5hcDFwNTF5emx4ODci7wUKC0FBQUNHLUZUMWlrEr8FCgtBQUFDRy1GVDFpaxILQUFBQ0ctRlQxaWsaYQoJdGV4dC9odG1sElRlbCBzZWd1bmRvIG9iamV0aXZvIHNlcmEgbW9kZWxhciBsYSBhcnF1aXRlY3R1cmEgeSBlbCB0ZXJjZXJvIGRpc2XDsWFyIGxhIGludGVyZmFjZXMiYgoKdGV4dC9wbGFpbhJUZWwgc2VndW5kbyBvYmpldGl2byBzZXJhIG1vZGVsYXIgbGEgYXJxdWl0ZWN0dXJhIHkgZWwgdGVyY2VybyBkaXNlw7FhciBsYSBpbnRlcmZhY2VzKhsiFTExMTcwODQ4MDk1Mzc5NTMwMTI2MSgAOAAwt6bii5U0OLem4ouVNEq6AgoKdGV4dC9wbGFpbhKrAkNvbnN0cnVpciBsb3MgbcOzZHVsb3MgZGVsIHNpc3RlbWEgZGUgaW5mb3JtYWNpw7NuIGNvcnJlc3BvbmRpZW50ZXMgYSBsYSBnZXN0acOzbiBkZSBhdWxhcywgZ3J1cG9zIHkgYWN0aXZpZGFkZXMsIGxhIGJpbGxldGVyYSBkaWdpdGFsIHRyYW5zYWNjaW9uYWwsIGxhcyBzdWJhc3RhcyBlbiB0aWVtcG8gcmVhbCwgbG9zIHJlcG9ydGVzIGluc3RpdHVjaW9uYWxlcyB5IGxhIGVqZWN1Y2nDs24gZGUgYWNjaW9uZXMgZGUgZ2VzdGnDs24gcG9yIHBhcnRlIGRlbCBhc2lzdGVudGUgZGUgaW50ZWxpZ2VuY2lhIGFydGlmaWNpYWwuWgx3aDRkYWJoZ3NueHNyAiAAeACaAQYIABAAGACqAVYSVGVsIHNlZ3VuZG8gb2JqZXRpdm8gc2VyYSBtb2RlbGFyIGxhIGFycXVpdGVjdHVyYSB5IGVsIHRlcmNlcm8gZGlzZcOxYXIgbGEgaW50ZXJmYWNlcxi3puKLlTQgt6bii5U0QhBraXgubHkxNjl5b216NGVwIuoBCgtBQUFDRy1GVDFqQRK6AQoLQUFBQ0ctRlQxakESC0FBQUNHLUZUMWpBGhIKCXRleHQvaHRtbBIFdGFibGEiEwoKdGV4dC9wbGFpbhIFdGFibGEqGyIVMTExNzA4NDgwOTUzNzk1MzAxMjYxKAA4ADD97P6LlTQ4/ez+i5U0SiMKCnRleHQvcGxhaW4SFVBvYmxhY2nDs24geSBtdWVzdHJhLloMbDN5ZW1hcWs0YmtxcgIgAHgAmgEGCAAQABgAqgEHEgV0YWJsYRj97P6LlTQg/ez+i5U0QhBraXguanRhZTVvdzJnbmx2IuwBCgtBQUFDRy1GVDFpOBK8AQoLQUFBQ0ctRlQxaTgSC0FBQUNHLUZUMWk4GhIKCXRleHQvaHRtbBIFbm8gdmEiEwoKdGV4dC9wbGFpbhIFbm8gdmEqGyIVMTExNzA4NDgwOTUzNzk1MzAxMjYxKAA4ADCDtv6LlTQ4g7b+i5U0SiUKCnRleHQvcGxhaW4SF0NvbnNpZGVyYWNpb25lcyDDqXRpY2FzWgx5cTZjcnZ3MTl3NmxyAiAAeACaAQYIABAAGACqAQcSBW5vIHZhGIO2/ouVNCCDtv6LlTRCEGtpeC5naGh0N3lnNnprdDMijAMKC0FBQUNHLUZUMWl3EtwCCgtBQUFDRy1GVDFpdxILQUFBQ0ctRlQxaXcaRwoJdGV4dC9odG1sEjozIGF1dG9yZXMgcG9yIHZhcmlhYmxlIHkgcG9yIGRpbWVuc2lvbiwgcXVpdGVuIGluZGljYWRvcmVzIkgKCnRleHQvcGxhaW4SOjMgYXV0b3JlcyBwb3IgdmFyaWFibGUgeSBwb3IgZGltZW5zaW9uLCBxdWl0ZW4gaW5kaWNhZG9yZXMqGyIVMTExNzA4NDgwOTUzNzk1MzAxMjYxKAA4ADDP0vSLlTQ4z9L0i5U0SiYKCnRleHQvcGxhaW4SGEZVTkRBTUVOVEFDScOTTiBURcOTUklDQVoMeHdlYnhoNG1rMnppcgIgAHgAmgEGCAAQABgAqgE8EjozIGF1dG9yZXMgcG9yIHZhcmlhYmxlIHkgcG9yIGRpbWVuc2lvbiwgcXVpdGVuIGluZGljYWRvcmVzGM/S9IuVNCDP0vSLlTRCEGtpeC51NjE1YThjYWR1YWIilAIKC0FBQUNHLUZUMWkwEuQBCgtBQUFDRy1GVDFpMBILQUFBQ0ctRlQxaTAaFwoJdGV4dC9odG1sEgplc3RvIG5vIHZhIhgKCnRleHQvcGxhaW4SCmVzdG8gbm8gdmEqGyIVMTExNzA4NDgwOTUzNzk1MzAxMjYxKAA4ADDVsfiLlTQ41bH4i5U0Sj8KCnRleHQvcGxhaW4SMTYuMi4zIEN1YWRybyByZXN1bWVuIGRlIGRpbWVuc2lvbmVzIGUgaW5kaWNhZG9yZXNaCzZhMTVoZTBoNHNmcgIgAHgAmgEGCAAQABgAqgEMEgplc3RvIG5vIHZhGNWx+IuVNCDVsfiLlTRCEGtpeC5vZHI0dnpzc3IzdW4i1wIKC0FBQUNHLUZUMWk0EqcCCgtBQUFDRy1GVDFpNBILQUFBQ0ctRlQxaTQaFwoJdGV4dC9odG1sEgpFc3RvIG5vIHZhIhgKCnRleHQvcGxhaW4SCkVzdG8gbm8gdmEqGyIVMTExNzA4NDgwOTUzNzk1MzAxMjYxKAA4ADCZqvyLlTQ4mar8i5U0SoABCgp0ZXh0L3BsYWluEnJUYWJsYSAzCkFjdGl2aWRhZGVzIGRlIGxhIG1ldG9kb2xvZ8OtYSBkZSBQZWZmZXJzIGV0IGFsLiAoMjAwNykgeSBzdSBjb3JyZXNwb25kZW5jaWEgY29uIGxhcyBmYXNlcyB5IGxvcyBvYmpldGl2b3NaDHczMHdzZmt6cmU2MXICIAB4AJoBBggAEAAYAKoBDBIKRXN0byBubyB2YRiZqvyLlTQgmar8i5U0QhBraXgucDNhdnhxaW8yMHZ2OAByITFnZ2Z1RmdNMFU2aDM2VTI2S1FMWnd1UVQ3QnFOdHo3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2026-10-08T22:41:00Z</dcterms:created>
  <dc:creator>Juan carlos Añez</dc:creator>
</cp:coreProperties>
</file>