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BB" w:rsidRPr="00BB690E" w:rsidRDefault="006F61BB" w:rsidP="006F61BB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BB690E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32E4A796" wp14:editId="08FE069A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690E" w:rsidRPr="00BB690E" w:rsidRDefault="00BB690E" w:rsidP="00BB690E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BB690E">
        <w:rPr>
          <w:rFonts w:ascii="Arial Narrow" w:hAnsi="Arial Narrow"/>
          <w:b/>
          <w:sz w:val="20"/>
          <w:szCs w:val="20"/>
        </w:rPr>
        <w:t>SERVIÇO PÚBLICO FEDERAL</w:t>
      </w:r>
    </w:p>
    <w:p w:rsidR="00BB690E" w:rsidRPr="00BB690E" w:rsidRDefault="00BB690E" w:rsidP="00BB690E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BB690E">
        <w:rPr>
          <w:rFonts w:ascii="Arial Narrow" w:hAnsi="Arial Narrow"/>
          <w:b/>
        </w:rPr>
        <w:t>MJ – POLÍCIA FEDERAL</w:t>
      </w:r>
    </w:p>
    <w:p w:rsidR="00BB690E" w:rsidRPr="00BB690E" w:rsidRDefault="00BB690E" w:rsidP="00BB690E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BB690E">
        <w:rPr>
          <w:rFonts w:ascii="Arial Narrow" w:hAnsi="Arial Narrow"/>
          <w:b/>
        </w:rPr>
        <w:t>COORDENAÇÃO–GERAL DE TECNOLOGIA DA INFORMAÇÃO</w:t>
      </w:r>
    </w:p>
    <w:p w:rsidR="00434863" w:rsidRPr="00BB690E" w:rsidRDefault="00BB690E" w:rsidP="00434863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BB690E">
        <w:rPr>
          <w:rFonts w:ascii="Arial Narrow" w:hAnsi="Arial Narrow"/>
          <w:b/>
        </w:rPr>
        <w:t xml:space="preserve">DINF – SERVIÇO DE </w:t>
      </w:r>
      <w:r w:rsidR="00434863">
        <w:rPr>
          <w:rFonts w:ascii="Arial Narrow" w:hAnsi="Arial Narrow"/>
          <w:b/>
        </w:rPr>
        <w:t>DESENVOLVIMENTO DE SISTEMAS</w:t>
      </w:r>
    </w:p>
    <w:p w:rsidR="006F61BB" w:rsidRPr="00BB690E" w:rsidRDefault="006F61BB" w:rsidP="006F61BB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p w:rsidR="00C7213A" w:rsidRPr="00BB690E" w:rsidRDefault="001549CD" w:rsidP="006F61BB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  <w:r w:rsidRPr="00BB690E">
        <w:rPr>
          <w:rFonts w:ascii="Arial Narrow" w:hAnsi="Arial Narrow"/>
          <w:b/>
          <w:bCs/>
        </w:rPr>
        <w:t>PLANO DE SUSTENTAÇÃO</w:t>
      </w:r>
    </w:p>
    <w:p w:rsidR="006F61BB" w:rsidRPr="00BB690E" w:rsidRDefault="006F61BB" w:rsidP="006F61BB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85"/>
      </w:tblGrid>
      <w:tr w:rsidR="00C7213A" w:rsidRPr="00BB690E" w:rsidTr="00F515BF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spacing w:val="30"/>
                <w:sz w:val="20"/>
                <w:szCs w:val="20"/>
              </w:rPr>
              <w:t>1 – INTRODUÇÃO</w:t>
            </w:r>
          </w:p>
        </w:tc>
      </w:tr>
      <w:tr w:rsidR="00C7213A" w:rsidRPr="00BB690E" w:rsidTr="00F515BF">
        <w:trPr>
          <w:trHeight w:val="454"/>
        </w:trPr>
        <w:tc>
          <w:tcPr>
            <w:tcW w:w="5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13A" w:rsidRPr="00BB690E" w:rsidRDefault="00C7213A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spacing w:val="30"/>
                <w:sz w:val="20"/>
                <w:szCs w:val="20"/>
              </w:rPr>
              <w:t>O Plano de Sustentação visa garantir a continuidade do negócio durante e após a entrega</w:t>
            </w:r>
            <w:r w:rsidR="006F61BB" w:rsidRPr="00BB690E">
              <w:rPr>
                <w:rFonts w:ascii="Arial Narrow" w:hAnsi="Arial Narrow"/>
                <w:spacing w:val="30"/>
                <w:sz w:val="20"/>
                <w:szCs w:val="20"/>
              </w:rPr>
              <w:t xml:space="preserve"> </w:t>
            </w:r>
            <w:r w:rsidRPr="00BB690E">
              <w:rPr>
                <w:rFonts w:ascii="Arial Narrow" w:hAnsi="Arial Narrow"/>
                <w:spacing w:val="30"/>
                <w:sz w:val="20"/>
                <w:szCs w:val="20"/>
              </w:rPr>
              <w:t xml:space="preserve">da Solução de Tecnologia da Informação, bem como após o </w:t>
            </w:r>
            <w:r w:rsidR="006F61BB" w:rsidRPr="00BB690E">
              <w:rPr>
                <w:rFonts w:ascii="Arial Narrow" w:hAnsi="Arial Narrow"/>
                <w:spacing w:val="30"/>
                <w:sz w:val="20"/>
                <w:szCs w:val="20"/>
              </w:rPr>
              <w:t>encerramento do contrato</w:t>
            </w:r>
            <w:r w:rsidRPr="00BB690E">
              <w:rPr>
                <w:rFonts w:ascii="Arial Narrow" w:hAnsi="Arial Narrow"/>
                <w:spacing w:val="30"/>
                <w:sz w:val="20"/>
                <w:szCs w:val="20"/>
              </w:rPr>
              <w:t>.</w:t>
            </w:r>
          </w:p>
          <w:p w:rsidR="00C7213A" w:rsidRPr="00BB690E" w:rsidRDefault="00C7213A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</w:tbl>
    <w:p w:rsidR="00C7213A" w:rsidRPr="00BB690E" w:rsidRDefault="00C7213A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1154"/>
        <w:gridCol w:w="1008"/>
        <w:gridCol w:w="2018"/>
        <w:gridCol w:w="868"/>
        <w:gridCol w:w="2018"/>
        <w:gridCol w:w="1296"/>
        <w:gridCol w:w="1734"/>
      </w:tblGrid>
      <w:tr w:rsidR="00C7213A" w:rsidRPr="00BB690E" w:rsidTr="00F515BF">
        <w:trPr>
          <w:trHeight w:val="225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 – RECURSOS NECESSÁRIOS A CONTINUIDADE DE NEGÓCIO DURANTE E APÓS A CONTRATAÇÃO</w:t>
            </w:r>
          </w:p>
        </w:tc>
      </w:tr>
      <w:tr w:rsidR="00C7213A" w:rsidRPr="00BB690E" w:rsidTr="00F515BF">
        <w:trPr>
          <w:trHeight w:val="56"/>
        </w:trPr>
        <w:tc>
          <w:tcPr>
            <w:tcW w:w="5000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2.1 – RECURSOS MATERIAIS</w:t>
            </w:r>
          </w:p>
        </w:tc>
      </w:tr>
      <w:tr w:rsidR="00545917" w:rsidRPr="00BB690E" w:rsidTr="00F515BF">
        <w:trPr>
          <w:trHeight w:val="56"/>
        </w:trPr>
        <w:tc>
          <w:tcPr>
            <w:tcW w:w="786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45917" w:rsidRPr="00BB690E" w:rsidRDefault="00545917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Recurso </w:t>
            </w: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:</w:t>
            </w:r>
          </w:p>
        </w:tc>
        <w:tc>
          <w:tcPr>
            <w:tcW w:w="1835" w:type="pct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45917" w:rsidRPr="00BB690E" w:rsidRDefault="00545917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Orçamento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45917" w:rsidRPr="00BB690E" w:rsidRDefault="00545917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Disponibilidade:</w:t>
            </w:r>
          </w:p>
        </w:tc>
        <w:tc>
          <w:tcPr>
            <w:tcW w:w="1428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45917" w:rsidRPr="00BB690E" w:rsidRDefault="00BB690E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Parcelada </w:t>
            </w: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sob demanda</w:t>
            </w:r>
            <w:proofErr w:type="gramEnd"/>
          </w:p>
        </w:tc>
      </w:tr>
      <w:tr w:rsidR="00C7213A" w:rsidRPr="00BB690E" w:rsidTr="00F515BF">
        <w:trPr>
          <w:trHeight w:val="56"/>
        </w:trPr>
        <w:tc>
          <w:tcPr>
            <w:tcW w:w="2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379" w:type="pct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Para Obtenção do Recurso</w:t>
            </w:r>
          </w:p>
        </w:tc>
        <w:tc>
          <w:tcPr>
            <w:tcW w:w="2379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C7213A" w:rsidRPr="00BB690E" w:rsidTr="00F515BF">
        <w:trPr>
          <w:trHeight w:val="56"/>
        </w:trPr>
        <w:tc>
          <w:tcPr>
            <w:tcW w:w="242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379" w:type="pct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Planejamento e empenho orçamentário</w:t>
            </w:r>
          </w:p>
        </w:tc>
        <w:tc>
          <w:tcPr>
            <w:tcW w:w="2379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2097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Unidades gestoras</w:t>
            </w:r>
          </w:p>
        </w:tc>
      </w:tr>
      <w:tr w:rsidR="00C7213A" w:rsidRPr="00BB690E" w:rsidTr="00F515BF">
        <w:trPr>
          <w:trHeight w:val="56"/>
        </w:trPr>
        <w:tc>
          <w:tcPr>
            <w:tcW w:w="5000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C7213A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C7213A" w:rsidRPr="00BB690E" w:rsidTr="00F515BF">
        <w:trPr>
          <w:trHeight w:val="225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2.2 – RECURSOS HUMANOS</w:t>
            </w:r>
          </w:p>
        </w:tc>
      </w:tr>
      <w:tr w:rsidR="00C7213A" w:rsidRPr="00BB690E" w:rsidTr="00B303B3">
        <w:trPr>
          <w:trHeight w:val="225"/>
        </w:trPr>
        <w:tc>
          <w:tcPr>
            <w:tcW w:w="24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1019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Função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Formação</w:t>
            </w:r>
          </w:p>
        </w:tc>
        <w:tc>
          <w:tcPr>
            <w:tcW w:w="1971" w:type="pct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Atribuições</w:t>
            </w:r>
          </w:p>
        </w:tc>
        <w:tc>
          <w:tcPr>
            <w:tcW w:w="81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 w:rsidP="006F61B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Carga Horá</w:t>
            </w:r>
            <w:r w:rsidR="006F61BB"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ria</w:t>
            </w:r>
          </w:p>
        </w:tc>
      </w:tr>
      <w:tr w:rsidR="00B303B3" w:rsidRPr="00BB690E" w:rsidTr="00B303B3">
        <w:trPr>
          <w:trHeight w:val="56"/>
        </w:trPr>
        <w:tc>
          <w:tcPr>
            <w:tcW w:w="242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03B3" w:rsidRPr="00BB690E" w:rsidRDefault="00B303B3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019" w:type="pct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03B3" w:rsidRPr="00BB690E" w:rsidRDefault="00B303B3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Representante da Unidade Gestora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03B3" w:rsidRPr="00BB690E" w:rsidRDefault="00B303B3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Superior</w:t>
            </w:r>
          </w:p>
        </w:tc>
        <w:tc>
          <w:tcPr>
            <w:tcW w:w="1971" w:type="pct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03B3" w:rsidRPr="00BB690E" w:rsidRDefault="00B303B3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Gestão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, recebimento</w:t>
            </w: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e fiscalização d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e bens e </w:t>
            </w: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serviços</w:t>
            </w:r>
            <w:proofErr w:type="gramEnd"/>
          </w:p>
        </w:tc>
        <w:tc>
          <w:tcPr>
            <w:tcW w:w="81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03B3" w:rsidRPr="00BB690E" w:rsidRDefault="00B303B3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40</w:t>
            </w:r>
          </w:p>
        </w:tc>
      </w:tr>
      <w:tr w:rsidR="006F61BB" w:rsidRPr="00BB690E" w:rsidTr="00B303B3">
        <w:trPr>
          <w:trHeight w:val="56"/>
        </w:trPr>
        <w:tc>
          <w:tcPr>
            <w:tcW w:w="242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F61BB" w:rsidRPr="00BB690E" w:rsidRDefault="00B303B3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019" w:type="pct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F61BB" w:rsidRPr="00BB690E" w:rsidRDefault="00B303B3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Técnico de Suporte</w:t>
            </w:r>
          </w:p>
        </w:tc>
        <w:tc>
          <w:tcPr>
            <w:tcW w:w="951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F61BB" w:rsidRPr="00BB690E" w:rsidRDefault="00B303B3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Superior em Computação</w:t>
            </w:r>
          </w:p>
        </w:tc>
        <w:tc>
          <w:tcPr>
            <w:tcW w:w="1971" w:type="pct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F61BB" w:rsidRPr="00BB690E" w:rsidRDefault="00B303B3" w:rsidP="00CD4111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Acompanhamento da </w:t>
            </w: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Implementação</w:t>
            </w:r>
            <w:proofErr w:type="gramEnd"/>
          </w:p>
        </w:tc>
        <w:tc>
          <w:tcPr>
            <w:tcW w:w="81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F61BB" w:rsidRPr="00BB690E" w:rsidRDefault="006F61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40</w:t>
            </w:r>
          </w:p>
        </w:tc>
      </w:tr>
    </w:tbl>
    <w:p w:rsidR="00C7213A" w:rsidRPr="00BB690E" w:rsidRDefault="00C7213A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5019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"/>
        <w:gridCol w:w="71"/>
        <w:gridCol w:w="5290"/>
        <w:gridCol w:w="2109"/>
        <w:gridCol w:w="2833"/>
      </w:tblGrid>
      <w:tr w:rsidR="00C7213A" w:rsidRPr="00BB690E" w:rsidTr="00857430">
        <w:trPr>
          <w:trHeight w:val="108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 – TRANSIÇÃO</w:t>
            </w:r>
            <w:proofErr w:type="gramEnd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CONTRATUAL</w:t>
            </w:r>
          </w:p>
        </w:tc>
      </w:tr>
      <w:tr w:rsidR="00C7213A" w:rsidRPr="00BB690E" w:rsidTr="00857430">
        <w:trPr>
          <w:trHeight w:val="108"/>
        </w:trPr>
        <w:tc>
          <w:tcPr>
            <w:tcW w:w="500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3.1 – AVALIAÇÃO</w:t>
            </w:r>
            <w:proofErr w:type="gramEnd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DE CONTINUIDADE CONTRATUAL</w:t>
            </w:r>
          </w:p>
        </w:tc>
      </w:tr>
      <w:tr w:rsidR="00BF14B4" w:rsidRPr="00BB690E" w:rsidTr="00BF14B4">
        <w:trPr>
          <w:trHeight w:val="108"/>
        </w:trPr>
        <w:tc>
          <w:tcPr>
            <w:tcW w:w="16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518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</w:t>
            </w:r>
          </w:p>
        </w:tc>
        <w:tc>
          <w:tcPr>
            <w:tcW w:w="990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  <w:tc>
          <w:tcPr>
            <w:tcW w:w="133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Período</w:t>
            </w:r>
          </w:p>
        </w:tc>
      </w:tr>
      <w:tr w:rsidR="00BF14B4" w:rsidRPr="00BB690E" w:rsidTr="00BF14B4">
        <w:trPr>
          <w:trHeight w:val="56"/>
        </w:trPr>
        <w:tc>
          <w:tcPr>
            <w:tcW w:w="162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 w:rsidP="00FD742D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518" w:type="pct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 w:rsidP="00E32AF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Entrega de todos os documentos gerados durante o projeto.</w:t>
            </w:r>
          </w:p>
        </w:tc>
        <w:tc>
          <w:tcPr>
            <w:tcW w:w="990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235CF8" w:rsidRDefault="00BF14B4" w:rsidP="00FD742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35CF8"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 e CONTRATADA</w:t>
            </w:r>
          </w:p>
        </w:tc>
        <w:tc>
          <w:tcPr>
            <w:tcW w:w="133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235CF8" w:rsidRDefault="00BF14B4" w:rsidP="00FD742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90 dias antes do término do contrato.</w:t>
            </w:r>
          </w:p>
          <w:p w:rsidR="00BF14B4" w:rsidRPr="00235CF8" w:rsidRDefault="00BF14B4" w:rsidP="00FD742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BF14B4" w:rsidRPr="00BB690E" w:rsidTr="00BF14B4">
        <w:trPr>
          <w:trHeight w:val="56"/>
        </w:trPr>
        <w:tc>
          <w:tcPr>
            <w:tcW w:w="162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518" w:type="pct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 w:rsidP="00E32AFF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Renovação de contrato para não interrupção dos serviços.</w:t>
            </w:r>
          </w:p>
        </w:tc>
        <w:tc>
          <w:tcPr>
            <w:tcW w:w="990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235CF8" w:rsidRDefault="00BF14B4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35CF8"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 e CONTRATADA</w:t>
            </w:r>
          </w:p>
        </w:tc>
        <w:tc>
          <w:tcPr>
            <w:tcW w:w="133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235CF8" w:rsidRDefault="00BF14B4" w:rsidP="00BF14B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60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dias antes do término do contrato.</w:t>
            </w:r>
          </w:p>
          <w:p w:rsidR="00BF14B4" w:rsidRPr="00235CF8" w:rsidRDefault="00BF14B4" w:rsidP="00074D4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C7213A" w:rsidRPr="00BB690E" w:rsidTr="00857430">
        <w:trPr>
          <w:trHeight w:val="108"/>
        </w:trPr>
        <w:tc>
          <w:tcPr>
            <w:tcW w:w="500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C7213A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C7213A" w:rsidRPr="00BB690E" w:rsidTr="00857430">
        <w:trPr>
          <w:trHeight w:val="108"/>
        </w:trPr>
        <w:tc>
          <w:tcPr>
            <w:tcW w:w="500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3.2 – AÇÕES PARA ENCERRAMENTO CONTRATUAL</w:t>
            </w:r>
          </w:p>
        </w:tc>
      </w:tr>
      <w:tr w:rsidR="00BF14B4" w:rsidRPr="00BB690E" w:rsidTr="00BF14B4">
        <w:trPr>
          <w:trHeight w:val="108"/>
        </w:trPr>
        <w:tc>
          <w:tcPr>
            <w:tcW w:w="196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48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</w:t>
            </w:r>
          </w:p>
        </w:tc>
        <w:tc>
          <w:tcPr>
            <w:tcW w:w="990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  <w:tc>
          <w:tcPr>
            <w:tcW w:w="133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Período</w:t>
            </w:r>
          </w:p>
        </w:tc>
      </w:tr>
      <w:tr w:rsidR="00BF14B4" w:rsidRPr="00BB690E" w:rsidTr="00BF14B4">
        <w:trPr>
          <w:trHeight w:val="108"/>
        </w:trPr>
        <w:tc>
          <w:tcPr>
            <w:tcW w:w="196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F14B4" w:rsidRPr="00BB690E" w:rsidRDefault="00BF14B4" w:rsidP="00F833A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48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B4" w:rsidRPr="00BB690E" w:rsidRDefault="00BF14B4" w:rsidP="00A0147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Realização de novo pregão para não interrupção dos serviços.</w:t>
            </w:r>
          </w:p>
        </w:tc>
        <w:tc>
          <w:tcPr>
            <w:tcW w:w="99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B4" w:rsidRPr="00BB690E" w:rsidRDefault="00BF14B4" w:rsidP="00F833A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235CF8"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 e CONTRATADA</w:t>
            </w:r>
          </w:p>
        </w:tc>
        <w:tc>
          <w:tcPr>
            <w:tcW w:w="133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B4" w:rsidRPr="00235CF8" w:rsidRDefault="00BF14B4" w:rsidP="00BF14B4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90 dias antes do término do contrato.</w:t>
            </w:r>
          </w:p>
          <w:p w:rsidR="00BF14B4" w:rsidRPr="00BB690E" w:rsidRDefault="00BF14B4" w:rsidP="00074D44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340D58" w:rsidRPr="00BB690E" w:rsidTr="00857430">
        <w:trPr>
          <w:trHeight w:val="108"/>
        </w:trPr>
        <w:tc>
          <w:tcPr>
            <w:tcW w:w="5000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40D58" w:rsidRPr="00BB690E" w:rsidRDefault="00340D58" w:rsidP="0054591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</w:tbl>
    <w:p w:rsidR="00C7213A" w:rsidRDefault="00C7213A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3"/>
        <w:gridCol w:w="2474"/>
        <w:gridCol w:w="547"/>
        <w:gridCol w:w="3626"/>
        <w:gridCol w:w="2449"/>
      </w:tblGrid>
      <w:tr w:rsidR="00F515BF" w:rsidRPr="003C4BFE" w:rsidTr="00F515BF">
        <w:trPr>
          <w:trHeight w:val="22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4 – ESTRATÉGIA</w:t>
            </w:r>
            <w:proofErr w:type="gramEnd"/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DE CONTINUIDADE CONTRATUAL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Evento </w:t>
            </w:r>
            <w:proofErr w:type="gramStart"/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:</w:t>
            </w:r>
          </w:p>
        </w:tc>
        <w:tc>
          <w:tcPr>
            <w:tcW w:w="1166" w:type="pct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3D2513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Interrupção </w:t>
            </w:r>
            <w:r w:rsidR="003D2513">
              <w:rPr>
                <w:rFonts w:ascii="Arial Narrow" w:hAnsi="Arial Narrow"/>
                <w:bCs/>
                <w:spacing w:val="30"/>
                <w:sz w:val="20"/>
                <w:szCs w:val="20"/>
              </w:rPr>
              <w:t>contratual</w:t>
            </w: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Preventiva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pct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Empenho de recurso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SAD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pct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Preparação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pct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Negociação com o provedor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pct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Contingência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F515BF" w:rsidRPr="003C4BFE" w:rsidTr="00F515BF">
        <w:trPr>
          <w:trHeight w:val="225"/>
        </w:trPr>
        <w:tc>
          <w:tcPr>
            <w:tcW w:w="713" w:type="pct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6" w:type="pct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8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9" w:type="pc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3D2513" w:rsidP="003D2513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Contratação de novo fornecedor.</w:t>
            </w:r>
          </w:p>
        </w:tc>
        <w:tc>
          <w:tcPr>
            <w:tcW w:w="11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F515BF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</w:tbl>
    <w:p w:rsidR="00F515BF" w:rsidRDefault="00F515BF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"/>
        <w:gridCol w:w="3969"/>
        <w:gridCol w:w="5996"/>
      </w:tblGrid>
      <w:tr w:rsidR="00C7213A" w:rsidRPr="00BB690E">
        <w:tc>
          <w:tcPr>
            <w:tcW w:w="10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 – ESTRATÉGIA</w:t>
            </w:r>
            <w:proofErr w:type="gramEnd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DE INDEPEDÊNCIA</w:t>
            </w:r>
          </w:p>
        </w:tc>
      </w:tr>
      <w:tr w:rsidR="00C7213A" w:rsidRPr="00BB690E">
        <w:tc>
          <w:tcPr>
            <w:tcW w:w="104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5.1 – TRANSFERÊNCIA</w:t>
            </w:r>
            <w:proofErr w:type="gramEnd"/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DE CONHECIMENTO</w:t>
            </w:r>
          </w:p>
        </w:tc>
      </w:tr>
      <w:tr w:rsidR="00C7213A" w:rsidRPr="00BB690E" w:rsidTr="00545917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Item</w:t>
            </w:r>
          </w:p>
        </w:tc>
        <w:tc>
          <w:tcPr>
            <w:tcW w:w="5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Forma de Transferência do Conhecimento</w:t>
            </w:r>
          </w:p>
        </w:tc>
      </w:tr>
      <w:tr w:rsidR="008E65A0" w:rsidRPr="00BB690E" w:rsidTr="009F18BB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BB690E" w:rsidRDefault="008E65A0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BB690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3C4BFE" w:rsidRDefault="008E65A0" w:rsidP="009F18BB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Manuais e guias da solução</w:t>
            </w: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</w:p>
        </w:tc>
        <w:tc>
          <w:tcPr>
            <w:tcW w:w="5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3C4BFE" w:rsidRDefault="008E65A0" w:rsidP="009F18BB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Documentação 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fornecida pela CONTRATADA.</w:t>
            </w:r>
          </w:p>
        </w:tc>
      </w:tr>
      <w:tr w:rsidR="008E65A0" w:rsidRPr="00BB690E" w:rsidTr="009F18BB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BB690E" w:rsidRDefault="008E65A0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3C4BFE" w:rsidRDefault="008E65A0" w:rsidP="009F18BB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Capacitação</w:t>
            </w:r>
            <w:r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</w:p>
        </w:tc>
        <w:tc>
          <w:tcPr>
            <w:tcW w:w="5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E65A0" w:rsidRPr="003C4BFE" w:rsidRDefault="008E65A0" w:rsidP="00B636FF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Treinamento </w:t>
            </w:r>
            <w:r w:rsidR="00B636FF">
              <w:rPr>
                <w:rFonts w:ascii="Arial Narrow" w:hAnsi="Arial Narrow"/>
                <w:bCs/>
                <w:spacing w:val="30"/>
                <w:sz w:val="20"/>
                <w:szCs w:val="20"/>
              </w:rPr>
              <w:t>de moderadores e publicadores de conteúdo.</w:t>
            </w:r>
          </w:p>
        </w:tc>
      </w:tr>
      <w:tr w:rsidR="00F515BF" w:rsidRPr="00BB690E" w:rsidTr="00F833AB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BB690E" w:rsidRDefault="008E65A0" w:rsidP="00F833A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8E65A0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Consultoria</w:t>
            </w:r>
            <w:r w:rsidR="00F515BF" w:rsidRPr="003C4BFE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</w:p>
        </w:tc>
        <w:tc>
          <w:tcPr>
            <w:tcW w:w="5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15BF" w:rsidRPr="003C4BFE" w:rsidRDefault="00857430" w:rsidP="00857430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Registro e o</w:t>
            </w:r>
            <w:r w:rsidR="008E65A0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rientação 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sobre </w:t>
            </w:r>
            <w:r w:rsidR="008E65A0">
              <w:rPr>
                <w:rFonts w:ascii="Arial Narrow" w:hAnsi="Arial Narrow"/>
                <w:bCs/>
                <w:spacing w:val="30"/>
                <w:sz w:val="20"/>
                <w:szCs w:val="20"/>
              </w:rPr>
              <w:t>a execução das atividades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</w:t>
            </w:r>
            <w:r w:rsidR="008E65A0">
              <w:rPr>
                <w:rFonts w:ascii="Arial Narrow" w:hAnsi="Arial Narrow"/>
                <w:bCs/>
                <w:spacing w:val="30"/>
                <w:sz w:val="20"/>
                <w:szCs w:val="20"/>
              </w:rPr>
              <w:lastRenderedPageBreak/>
              <w:t>relacionadas á solução.</w:t>
            </w:r>
          </w:p>
        </w:tc>
      </w:tr>
      <w:tr w:rsidR="00C7213A" w:rsidRPr="00BB690E">
        <w:tc>
          <w:tcPr>
            <w:tcW w:w="104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C7213A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C7213A" w:rsidRPr="00BB690E">
        <w:tc>
          <w:tcPr>
            <w:tcW w:w="104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5.2 – DIREITOS DE PROPRIEDADE INTELECTUAL</w:t>
            </w:r>
          </w:p>
        </w:tc>
      </w:tr>
      <w:tr w:rsidR="00C7213A" w:rsidRPr="00BB690E" w:rsidTr="006F61BB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213A" w:rsidRPr="00BB690E" w:rsidRDefault="001549C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Cláusulas segundo a Lei nº 9.610, de 19 de fevereiro de 1998.</w:t>
            </w:r>
          </w:p>
        </w:tc>
      </w:tr>
    </w:tbl>
    <w:p w:rsidR="00C7213A" w:rsidRPr="00BB690E" w:rsidRDefault="00C7213A" w:rsidP="006F61BB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449"/>
        <w:gridCol w:w="3541"/>
      </w:tblGrid>
      <w:tr w:rsidR="006F61BB" w:rsidRPr="00BB690E" w:rsidTr="009B0C37">
        <w:trPr>
          <w:trHeight w:val="315"/>
        </w:trPr>
        <w:tc>
          <w:tcPr>
            <w:tcW w:w="10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B0C3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  <w:tr w:rsidR="006F61BB" w:rsidRPr="00BB690E" w:rsidTr="00532263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B0C37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Requisitante da Solução</w:t>
            </w: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B0C37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de Tecnologia da Informação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B0C37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BB690E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Administrativa</w:t>
            </w:r>
          </w:p>
        </w:tc>
      </w:tr>
      <w:tr w:rsidR="006F61BB" w:rsidRPr="00BB690E" w:rsidTr="00532263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A0348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</w:p>
          <w:p w:rsidR="006F61BB" w:rsidRPr="00BB690E" w:rsidRDefault="006F61BB" w:rsidP="009A0348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690E">
              <w:rPr>
                <w:rFonts w:ascii="Arial Narrow" w:hAnsi="Arial Narrow"/>
                <w:sz w:val="20"/>
                <w:szCs w:val="20"/>
              </w:rPr>
              <w:t>_________________________</w:t>
            </w:r>
          </w:p>
          <w:p w:rsidR="006F61BB" w:rsidRDefault="009A0348" w:rsidP="009A0348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Frederico Borelli de Souza</w:t>
            </w:r>
          </w:p>
          <w:p w:rsidR="009A0348" w:rsidRPr="00BB690E" w:rsidRDefault="009A0348" w:rsidP="009A0348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A0348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690E">
              <w:rPr>
                <w:rFonts w:ascii="Arial Narrow" w:hAnsi="Arial Narrow"/>
                <w:sz w:val="20"/>
                <w:szCs w:val="20"/>
              </w:rPr>
              <w:t>________________________</w:t>
            </w:r>
          </w:p>
          <w:p w:rsidR="006F61BB" w:rsidRPr="00BB690E" w:rsidRDefault="00857430" w:rsidP="009A0348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857430">
              <w:rPr>
                <w:rFonts w:ascii="Arial Narrow" w:hAnsi="Arial Narrow"/>
                <w:spacing w:val="30"/>
                <w:sz w:val="20"/>
                <w:szCs w:val="20"/>
              </w:rPr>
              <w:t>A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ltamir </w:t>
            </w:r>
            <w:proofErr w:type="spellStart"/>
            <w:r>
              <w:rPr>
                <w:rFonts w:ascii="Arial Narrow" w:hAnsi="Arial Narrow"/>
                <w:spacing w:val="30"/>
                <w:sz w:val="20"/>
                <w:szCs w:val="20"/>
              </w:rPr>
              <w:t>Araujo</w:t>
            </w:r>
            <w:proofErr w:type="spellEnd"/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 Guimaraes Junior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A0348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B690E">
              <w:rPr>
                <w:rFonts w:ascii="Arial Narrow" w:hAnsi="Arial Narrow"/>
                <w:sz w:val="20"/>
                <w:szCs w:val="20"/>
              </w:rPr>
              <w:t>___________________________</w:t>
            </w:r>
          </w:p>
          <w:p w:rsidR="006F61BB" w:rsidRPr="00BB690E" w:rsidRDefault="006F61BB" w:rsidP="009A0348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proofErr w:type="spellStart"/>
            <w:r w:rsidRPr="00BB690E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Marsele</w:t>
            </w:r>
            <w:proofErr w:type="spellEnd"/>
            <w:r w:rsidRPr="00BB690E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 xml:space="preserve"> de Oliveira Garcia</w:t>
            </w:r>
          </w:p>
        </w:tc>
      </w:tr>
      <w:tr w:rsidR="006F61BB" w:rsidRPr="00BB690E" w:rsidTr="009B0C37">
        <w:trPr>
          <w:trHeight w:val="454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1BB" w:rsidRPr="00BB690E" w:rsidRDefault="006F61BB" w:rsidP="009B0C37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  <w:p w:rsidR="006F61BB" w:rsidRPr="00BB690E" w:rsidRDefault="006F61BB" w:rsidP="009B0C37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BB690E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r w:rsidR="002017AE">
              <w:rPr>
                <w:rFonts w:ascii="Arial Narrow" w:hAnsi="Arial Narrow"/>
                <w:sz w:val="20"/>
                <w:szCs w:val="20"/>
              </w:rPr>
              <w:t>27</w:t>
            </w:r>
            <w:r w:rsidR="009A034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B690E">
              <w:rPr>
                <w:rFonts w:ascii="Arial Narrow" w:hAnsi="Arial Narrow"/>
                <w:sz w:val="20"/>
                <w:szCs w:val="20"/>
              </w:rPr>
              <w:t xml:space="preserve">de </w:t>
            </w:r>
            <w:r w:rsidR="002017AE">
              <w:rPr>
                <w:rFonts w:ascii="Arial Narrow" w:hAnsi="Arial Narrow"/>
                <w:sz w:val="20"/>
                <w:szCs w:val="20"/>
              </w:rPr>
              <w:t>março</w:t>
            </w:r>
            <w:r w:rsidRPr="00BB690E">
              <w:rPr>
                <w:rFonts w:ascii="Arial Narrow" w:hAnsi="Arial Narrow"/>
                <w:sz w:val="20"/>
                <w:szCs w:val="20"/>
              </w:rPr>
              <w:t xml:space="preserve"> de 201</w:t>
            </w:r>
            <w:r w:rsidR="008E65A0">
              <w:rPr>
                <w:rFonts w:ascii="Arial Narrow" w:hAnsi="Arial Narrow"/>
                <w:sz w:val="20"/>
                <w:szCs w:val="20"/>
              </w:rPr>
              <w:t>3</w:t>
            </w:r>
            <w:r w:rsidRPr="00BB690E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6F61BB" w:rsidRPr="00BB690E" w:rsidRDefault="006F61BB" w:rsidP="009B0C37">
            <w:pPr>
              <w:pStyle w:val="Standard"/>
              <w:snapToGrid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6F61BB" w:rsidRPr="00BB690E" w:rsidRDefault="006F61BB" w:rsidP="006F61BB">
      <w:pPr>
        <w:pStyle w:val="Standard"/>
        <w:rPr>
          <w:rFonts w:ascii="Arial Narrow" w:hAnsi="Arial Narrow"/>
          <w:sz w:val="20"/>
          <w:szCs w:val="20"/>
        </w:rPr>
      </w:pPr>
    </w:p>
    <w:sectPr w:rsidR="006F61BB" w:rsidRPr="00BB690E" w:rsidSect="006F61BB">
      <w:pgSz w:w="11909" w:h="16834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F1" w:rsidRDefault="006443F1">
      <w:r>
        <w:separator/>
      </w:r>
    </w:p>
  </w:endnote>
  <w:endnote w:type="continuationSeparator" w:id="0">
    <w:p w:rsidR="006443F1" w:rsidRDefault="0064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F1" w:rsidRDefault="006443F1">
      <w:r>
        <w:rPr>
          <w:color w:val="000000"/>
        </w:rPr>
        <w:separator/>
      </w:r>
    </w:p>
  </w:footnote>
  <w:footnote w:type="continuationSeparator" w:id="0">
    <w:p w:rsidR="006443F1" w:rsidRDefault="00644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0339"/>
    <w:multiLevelType w:val="multilevel"/>
    <w:tmpl w:val="9C001D88"/>
    <w:styleLink w:val="WW8Num92"/>
    <w:lvl w:ilvl="0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1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2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3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4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5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6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7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8">
      <w:numFmt w:val="bullet"/>
      <w:lvlText w:val="▪"/>
      <w:lvlJc w:val="left"/>
      <w:rPr>
        <w:rFonts w:ascii="OpenSymbol" w:hAnsi="OpenSymbol" w:cs="OpenSymbol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7213A"/>
    <w:rsid w:val="00074D44"/>
    <w:rsid w:val="0012097D"/>
    <w:rsid w:val="00135295"/>
    <w:rsid w:val="001549CD"/>
    <w:rsid w:val="001B2749"/>
    <w:rsid w:val="002017AE"/>
    <w:rsid w:val="00332BB9"/>
    <w:rsid w:val="00340D58"/>
    <w:rsid w:val="003D2513"/>
    <w:rsid w:val="003D4BA2"/>
    <w:rsid w:val="003E65BB"/>
    <w:rsid w:val="00434863"/>
    <w:rsid w:val="004434FD"/>
    <w:rsid w:val="004864FA"/>
    <w:rsid w:val="00532263"/>
    <w:rsid w:val="00545917"/>
    <w:rsid w:val="00623159"/>
    <w:rsid w:val="006443F1"/>
    <w:rsid w:val="006931FE"/>
    <w:rsid w:val="006F61BB"/>
    <w:rsid w:val="007D03F3"/>
    <w:rsid w:val="0082044A"/>
    <w:rsid w:val="00857430"/>
    <w:rsid w:val="008C0107"/>
    <w:rsid w:val="008E65A0"/>
    <w:rsid w:val="00910F5C"/>
    <w:rsid w:val="009336C1"/>
    <w:rsid w:val="00954BC9"/>
    <w:rsid w:val="009618CD"/>
    <w:rsid w:val="00982087"/>
    <w:rsid w:val="009A0348"/>
    <w:rsid w:val="00A01479"/>
    <w:rsid w:val="00A57D9A"/>
    <w:rsid w:val="00A705E9"/>
    <w:rsid w:val="00B303B3"/>
    <w:rsid w:val="00B46D5C"/>
    <w:rsid w:val="00B636FF"/>
    <w:rsid w:val="00BB690E"/>
    <w:rsid w:val="00BF14B4"/>
    <w:rsid w:val="00BF5F4A"/>
    <w:rsid w:val="00C7213A"/>
    <w:rsid w:val="00C7567C"/>
    <w:rsid w:val="00CD4111"/>
    <w:rsid w:val="00D353F1"/>
    <w:rsid w:val="00D6224F"/>
    <w:rsid w:val="00E32AFF"/>
    <w:rsid w:val="00EB62A9"/>
    <w:rsid w:val="00EC7E8E"/>
    <w:rsid w:val="00EF13E5"/>
    <w:rsid w:val="00F515BF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61B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1BB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6F61B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6F61BB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6F61BB"/>
  </w:style>
  <w:style w:type="character" w:styleId="Refdecomentrio">
    <w:name w:val="annotation reference"/>
    <w:basedOn w:val="Fontepargpadro"/>
    <w:uiPriority w:val="99"/>
    <w:semiHidden/>
    <w:unhideWhenUsed/>
    <w:rsid w:val="00E32A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AFF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AFF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A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AFF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61B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1BB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6F61B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6F61BB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6F61BB"/>
  </w:style>
  <w:style w:type="character" w:styleId="Refdecomentrio">
    <w:name w:val="annotation reference"/>
    <w:basedOn w:val="Fontepargpadro"/>
    <w:uiPriority w:val="99"/>
    <w:semiHidden/>
    <w:unhideWhenUsed/>
    <w:rsid w:val="00E32A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AFF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AFF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A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AFF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61456-7A33-4EE8-972D-2A1A438D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Polícia Federal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MP-LENOVO M</dc:creator>
  <cp:lastModifiedBy>Amanda</cp:lastModifiedBy>
  <cp:revision>33</cp:revision>
  <dcterms:created xsi:type="dcterms:W3CDTF">2012-02-28T16:55:00Z</dcterms:created>
  <dcterms:modified xsi:type="dcterms:W3CDTF">2013-03-27T13:49:00Z</dcterms:modified>
</cp:coreProperties>
</file>