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D83186" w14:textId="0CF07567" w:rsidR="00342148" w:rsidRDefault="00342148" w:rsidP="00342148">
      <w:pPr>
        <w:rPr>
          <w:b/>
        </w:rPr>
      </w:pPr>
      <w:r w:rsidRPr="00342148">
        <w:rPr>
          <w:b/>
        </w:rPr>
        <w:t>APPEARANCE OF WANING IMMUNITY IN STUDIES OF IN</w:t>
      </w:r>
      <w:r>
        <w:rPr>
          <w:b/>
        </w:rPr>
        <w:t>FL</w:t>
      </w:r>
      <w:r w:rsidRPr="00342148">
        <w:rPr>
          <w:b/>
        </w:rPr>
        <w:t>UENZA VACCINE</w:t>
      </w:r>
      <w:r>
        <w:rPr>
          <w:b/>
        </w:rPr>
        <w:t xml:space="preserve"> </w:t>
      </w:r>
      <w:r w:rsidRPr="00342148">
        <w:rPr>
          <w:b/>
        </w:rPr>
        <w:t>E</w:t>
      </w:r>
      <w:r>
        <w:rPr>
          <w:b/>
        </w:rPr>
        <w:t>FF</w:t>
      </w:r>
      <w:r w:rsidRPr="00342148">
        <w:rPr>
          <w:b/>
        </w:rPr>
        <w:t>ECTIVENESS DUE TO BIAS</w:t>
      </w:r>
    </w:p>
    <w:p w14:paraId="372780A3" w14:textId="47F64991" w:rsidR="00342148" w:rsidRDefault="00342148" w:rsidP="002F58EC">
      <w:r>
        <w:t>Ivo M Foppa, Jill Ferdinands, Manish Patel</w:t>
      </w:r>
    </w:p>
    <w:p w14:paraId="4E711EFC" w14:textId="77777777" w:rsidR="00342148" w:rsidRPr="00342148" w:rsidRDefault="00342148" w:rsidP="002F58EC"/>
    <w:p w14:paraId="126B9CA7" w14:textId="6AF0E8FF" w:rsidR="002F58EC" w:rsidRPr="00BA46B0" w:rsidRDefault="002F58EC" w:rsidP="002F58EC">
      <w:pPr>
        <w:rPr>
          <w:b/>
        </w:rPr>
      </w:pPr>
      <w:r w:rsidRPr="00BA46B0">
        <w:rPr>
          <w:b/>
        </w:rPr>
        <w:t>Introduction</w:t>
      </w:r>
    </w:p>
    <w:p w14:paraId="45656180" w14:textId="0B235498" w:rsidR="002F58EC" w:rsidRDefault="002F58EC" w:rsidP="002F58EC">
      <w:r>
        <w:t>In his enlightening editorial on the challenges faced by observational vaccine effectiveness (VE) studies,</w:t>
      </w:r>
      <w:r w:rsidR="00342148">
        <w:t xml:space="preserve"> Lipsitch</w:t>
      </w:r>
      <w:bookmarkStart w:id="0" w:name="_GoBack"/>
      <w:bookmarkEnd w:id="0"/>
      <w:r>
        <w:t xml:space="preserve"> </w:t>
      </w:r>
      <w:r w:rsidR="00D922EE">
        <w:fldChar w:fldCharType="begin"/>
      </w:r>
      <w:r w:rsidR="00D922EE">
        <w:instrText xml:space="preserve"> ADDIN EN.CITE &lt;EndNote&gt;&lt;Cite&gt;&lt;Author&gt;Lipsitch&lt;/Author&gt;&lt;Year&gt;2018&lt;/Year&gt;&lt;RecNum&gt;20&lt;/RecNum&gt;&lt;record&gt;&lt;rec-number&gt;20&lt;/rec-number&gt;&lt;foreign-keys&gt;&lt;key app="EN" db-id="wdt5wtr96xfse4edsfpps2ag22z55ffewsve" timestamp="1537544091"&gt;20&lt;/key&gt;&lt;/foreign-keys&gt;&lt;ref-type name="Journal Article"&gt;17&lt;/ref-type&gt;&lt;contributors&gt;&lt;authors&gt;&lt;author&gt;Lipsitch, M.&lt;/author&gt;&lt;/authors&gt;&lt;/contributors&gt;&lt;auth-address&gt;Harvard School of Public Health Boston, MA.&lt;/auth-address&gt;&lt;titles&gt;&lt;title&gt;Challenges of vaccine effectiveness and waning studies&lt;/title&gt;&lt;secondary-title&gt;Clin Infect Dis&lt;/secondary-title&gt;&lt;/titles&gt;&lt;periodical&gt;&lt;full-title&gt;Clin Infect Dis&lt;/full-title&gt;&lt;/periodical&gt;&lt;edition&gt;2018/09/12&lt;/edition&gt;&lt;dates&gt;&lt;year&gt;2018&lt;/year&gt;&lt;pub-dates&gt;&lt;date&gt;Sep 10&lt;/date&gt;&lt;/pub-dates&gt;&lt;/dates&gt;&lt;isbn&gt;1537-6591 (Electronic)&amp;#xD;1058-4838 (Linking)&lt;/isbn&gt;&lt;accession-num&gt;30204853&lt;/accession-num&gt;&lt;urls&gt;&lt;related-urls&gt;&lt;url&gt;https://www.ncbi.nlm.nih.gov/pubmed/30204853&lt;/url&gt;&lt;/related-urls&gt;&lt;/urls&gt;&lt;electronic-resource-num&gt;10.1093/cid/ciy773&lt;/electronic-resource-num&gt;&lt;/record&gt;&lt;/Cite&gt;&lt;/EndNote&gt;</w:instrText>
      </w:r>
      <w:r w:rsidR="00D922EE">
        <w:fldChar w:fldCharType="separate"/>
      </w:r>
      <w:r w:rsidR="00D922EE">
        <w:rPr>
          <w:noProof/>
        </w:rPr>
        <w:t>{Lipsitch, 2018 #20}</w:t>
      </w:r>
      <w:r w:rsidR="00D922EE">
        <w:fldChar w:fldCharType="end"/>
      </w:r>
      <w:r w:rsidR="00414A8D">
        <w:t xml:space="preserve"> </w:t>
      </w:r>
      <w:r>
        <w:t xml:space="preserve">spells out two mechanisms causing apparent waning in ``leaky'' vaccines: First, heterogeneous risk of infection will deplete the population of those with higher risk first, among the vaccinated slower than the unvaccinated </w:t>
      </w:r>
      <w:r w:rsidR="00D922EE">
        <w:t>{</w:t>
      </w:r>
      <w:proofErr w:type="spellStart"/>
      <w:r w:rsidR="00D922EE">
        <w:t>Margheri</w:t>
      </w:r>
      <w:proofErr w:type="spellEnd"/>
      <w:r w:rsidR="00D922EE">
        <w:t>, 2017 #24}</w:t>
      </w:r>
      <w:r>
        <w:t xml:space="preserve">.  This leads to </w:t>
      </w:r>
      <w:r w:rsidR="00D922EE">
        <w:t xml:space="preserve">a </w:t>
      </w:r>
      <w:r>
        <w:t>relative increase in vaccinated case, resulting in lower VE estimates over time.  The second mechanism, due to incomplete case ascertainment</w:t>
      </w:r>
      <w:r w:rsidR="00414A8D">
        <w:t xml:space="preserve"> </w:t>
      </w:r>
      <w:r w:rsidR="00D922EE">
        <w:t>{Wu, 2018 #21}</w:t>
      </w:r>
      <w:r>
        <w:t>, is not further discussed by</w:t>
      </w:r>
      <w:r w:rsidR="00D922EE">
        <w:t xml:space="preserve"> </w:t>
      </w:r>
      <w:proofErr w:type="spellStart"/>
      <w:r w:rsidR="00D922EE">
        <w:t>Lipsitch</w:t>
      </w:r>
      <w:proofErr w:type="spellEnd"/>
      <w:r w:rsidR="00D922EE">
        <w:t xml:space="preserve"> {</w:t>
      </w:r>
      <w:proofErr w:type="spellStart"/>
      <w:r w:rsidR="00D922EE">
        <w:t>Lipsitch</w:t>
      </w:r>
      <w:proofErr w:type="spellEnd"/>
      <w:r w:rsidR="00D922EE">
        <w:t>, 2018 #20}</w:t>
      </w:r>
      <w:r>
        <w:t xml:space="preserve">. Here, we reconsider that mechanism in the context of observational influenza VE studies. Presently, most influenza VE studies are test-negative studies (TNS) and investigate its impact on VE estimates. We also comment on the recent manuscript by Ray et al. </w:t>
      </w:r>
      <w:r w:rsidR="00D922EE">
        <w:t xml:space="preserve">{Ray, 2018 #1} </w:t>
      </w:r>
      <w:r>
        <w:t xml:space="preserve">to highlight some of these challenges. </w:t>
      </w:r>
    </w:p>
    <w:p w14:paraId="368E4B4D" w14:textId="33DBEDF1" w:rsidR="003B5B96" w:rsidRPr="003B5B96" w:rsidRDefault="003B5B96" w:rsidP="002F58EC">
      <w:pPr>
        <w:rPr>
          <w:b/>
        </w:rPr>
      </w:pPr>
      <w:r w:rsidRPr="003B5B96">
        <w:rPr>
          <w:b/>
        </w:rPr>
        <w:t>Methods</w:t>
      </w:r>
    </w:p>
    <w:p w14:paraId="2DB7C0A2" w14:textId="77777777" w:rsidR="00066B30" w:rsidRPr="009B1575" w:rsidRDefault="00066B30" w:rsidP="002F58EC">
      <w:pPr>
        <w:rPr>
          <w:rFonts w:eastAsiaTheme="minorEastAsia"/>
          <w:u w:val="single"/>
        </w:rPr>
      </w:pPr>
      <w:r w:rsidRPr="009B1575">
        <w:rPr>
          <w:rFonts w:eastAsiaTheme="minorEastAsia"/>
          <w:u w:val="single"/>
        </w:rPr>
        <w:t>Simulation studies</w:t>
      </w:r>
    </w:p>
    <w:p w14:paraId="2DAA944E" w14:textId="77777777" w:rsidR="00C55687" w:rsidRDefault="00066B30" w:rsidP="002F58EC">
      <w:pPr>
        <w:rPr>
          <w:rFonts w:eastAsiaTheme="minorEastAsia"/>
        </w:rPr>
      </w:pPr>
      <w:r>
        <w:rPr>
          <w:rFonts w:eastAsiaTheme="minorEastAsia"/>
        </w:rPr>
        <w:t>We conducted two simulation studies</w:t>
      </w:r>
      <w:r w:rsidR="00C55687">
        <w:rPr>
          <w:rFonts w:eastAsiaTheme="minorEastAsia"/>
        </w:rPr>
        <w:t xml:space="preserve">, which we briefly describe here, providing more technical detail in the Appendix.  </w:t>
      </w:r>
    </w:p>
    <w:p w14:paraId="48C0DEAA" w14:textId="129A16B0" w:rsidR="00C55687" w:rsidRPr="009B1575" w:rsidRDefault="00C55687" w:rsidP="002F58EC">
      <w:pPr>
        <w:rPr>
          <w:rFonts w:eastAsiaTheme="minorEastAsia"/>
          <w:i/>
        </w:rPr>
      </w:pPr>
      <w:r w:rsidRPr="009B1575">
        <w:rPr>
          <w:rFonts w:eastAsiaTheme="minorEastAsia"/>
          <w:i/>
        </w:rPr>
        <w:t>Simulation study 1</w:t>
      </w:r>
    </w:p>
    <w:p w14:paraId="1ACFD133" w14:textId="00D78162" w:rsidR="003B5B96" w:rsidRDefault="00C55687" w:rsidP="002F58EC">
      <w:pPr>
        <w:rPr>
          <w:rFonts w:eastAsiaTheme="minorEastAsia"/>
        </w:rPr>
      </w:pPr>
      <w:r>
        <w:rPr>
          <w:rFonts w:eastAsiaTheme="minorEastAsia"/>
        </w:rPr>
        <w:t>The first simulation study</w:t>
      </w:r>
      <w:r w:rsidR="00066B30">
        <w:rPr>
          <w:rFonts w:eastAsiaTheme="minorEastAsia"/>
        </w:rPr>
        <w:t xml:space="preserve"> was based on a simple SIR ordinary differential equations </w:t>
      </w:r>
      <w:r w:rsidR="006E56E9">
        <w:rPr>
          <w:rFonts w:eastAsiaTheme="minorEastAsia"/>
        </w:rPr>
        <w:t>(ODE) model</w:t>
      </w:r>
      <w:r>
        <w:rPr>
          <w:rFonts w:eastAsiaTheme="minorEastAsia"/>
        </w:rPr>
        <w:t>, using parameter</w:t>
      </w:r>
      <w:r w:rsidR="003B5B96">
        <w:rPr>
          <w:rFonts w:eastAsiaTheme="minorEastAsia"/>
        </w:rPr>
        <w:t xml:space="preserve"> values shown in the Appendix</w:t>
      </w:r>
      <w:r w:rsidR="006E56E9">
        <w:rPr>
          <w:rFonts w:eastAsiaTheme="minorEastAsia"/>
        </w:rPr>
        <w:t xml:space="preserve">. Virtual </w:t>
      </w:r>
      <w:r w:rsidR="003B5B96">
        <w:rPr>
          <w:rFonts w:eastAsiaTheme="minorEastAsia"/>
        </w:rPr>
        <w:t>case-control studies</w:t>
      </w:r>
      <w:r w:rsidR="006E56E9">
        <w:rPr>
          <w:rFonts w:eastAsiaTheme="minorEastAsia"/>
        </w:rPr>
        <w:t xml:space="preserve"> were conducted using incident infections as cases and the vaccination uptake in the whole population to inform the vaccination odds in the controls; an “under-ascertainment corrected) VE was calculated by using the vaccination odds in the susceptibles, instead. </w:t>
      </w:r>
      <w:r w:rsidR="003B5B96">
        <w:rPr>
          <w:rFonts w:eastAsiaTheme="minorEastAsia"/>
        </w:rPr>
        <w:t xml:space="preserve"> This simulation resulted in graphs of VE estimates over time, by true VE.</w:t>
      </w:r>
    </w:p>
    <w:p w14:paraId="59121A94" w14:textId="4D36D5F6" w:rsidR="003B5B96" w:rsidRPr="009B1575" w:rsidRDefault="003B5B96" w:rsidP="002F58EC">
      <w:pPr>
        <w:rPr>
          <w:rFonts w:eastAsiaTheme="minorEastAsia"/>
          <w:i/>
        </w:rPr>
      </w:pPr>
      <w:r w:rsidRPr="009B1575">
        <w:rPr>
          <w:rFonts w:eastAsiaTheme="minorEastAsia"/>
          <w:i/>
        </w:rPr>
        <w:t>Simulation study 2</w:t>
      </w:r>
    </w:p>
    <w:p w14:paraId="7D65D406" w14:textId="703184B1" w:rsidR="00066B30" w:rsidRDefault="00F64A15" w:rsidP="002F58EC">
      <w:pPr>
        <w:rPr>
          <w:rFonts w:eastAsiaTheme="minorEastAsia"/>
        </w:rPr>
      </w:pPr>
      <w:r>
        <w:rPr>
          <w:rFonts w:eastAsiaTheme="minorEastAsia"/>
        </w:rPr>
        <w:t>The second simulation study used a stochastic SIR model that kept track of time since vaccination</w:t>
      </w:r>
      <w:r w:rsidR="003B5B96">
        <w:rPr>
          <w:rFonts w:eastAsiaTheme="minorEastAsia"/>
        </w:rPr>
        <w:t xml:space="preserve">. We simulated vaccination uptake as </w:t>
      </w:r>
      <w:proofErr w:type="gramStart"/>
      <w:r w:rsidR="003B5B96">
        <w:rPr>
          <w:rFonts w:eastAsiaTheme="minorEastAsia"/>
        </w:rPr>
        <w:t>an</w:t>
      </w:r>
      <w:proofErr w:type="gramEnd"/>
      <w:r w:rsidR="003B5B96">
        <w:rPr>
          <w:rFonts w:eastAsiaTheme="minorEastAsia"/>
        </w:rPr>
        <w:t xml:space="preserve"> unimodal function, with the total coverage, time of start relative to beginning of transmission and total duration to be chosen.  We investigated two scenarios: One in which vaccination was only begun with the start of transmission (maximum overlap) and one without overlap of vaccination uptake and transmission.  We generated case-control studies using all incident infection as cases and the remainder of the population as controls.  We analyzed the data using conditional logistic regression </w:t>
      </w:r>
      <w:r w:rsidR="00342148">
        <w:rPr>
          <w:rFonts w:eastAsiaTheme="minorEastAsia"/>
        </w:rPr>
        <w:t>as described by Ray et al. {Ray, 2018 #1}</w:t>
      </w:r>
    </w:p>
    <w:p w14:paraId="5CDAFF3F" w14:textId="587EFF7C" w:rsidR="009B1575" w:rsidRDefault="009B1575" w:rsidP="002F58EC"/>
    <w:p w14:paraId="1B1C0B98" w14:textId="6039252B" w:rsidR="009B1575" w:rsidRDefault="009B1575" w:rsidP="002F58EC">
      <w:pPr>
        <w:rPr>
          <w:b/>
        </w:rPr>
      </w:pPr>
      <w:r>
        <w:rPr>
          <w:b/>
        </w:rPr>
        <w:t>Results</w:t>
      </w:r>
    </w:p>
    <w:p w14:paraId="270FE56E" w14:textId="77777777" w:rsidR="009B1575" w:rsidRPr="003B5B96" w:rsidRDefault="009B1575" w:rsidP="009B1575">
      <w:pPr>
        <w:rPr>
          <w:u w:val="single"/>
        </w:rPr>
      </w:pPr>
      <w:r w:rsidRPr="003B5B96">
        <w:rPr>
          <w:u w:val="single"/>
        </w:rPr>
        <w:t>Theoretical considerations</w:t>
      </w:r>
    </w:p>
    <w:p w14:paraId="27E16383" w14:textId="77777777" w:rsidR="009B1575" w:rsidRPr="003B5B96" w:rsidRDefault="009B1575" w:rsidP="009B1575">
      <w:pPr>
        <w:rPr>
          <w:i/>
        </w:rPr>
      </w:pPr>
      <w:r w:rsidRPr="003B5B96">
        <w:rPr>
          <w:i/>
        </w:rPr>
        <w:t>Bias in the VE estimate</w:t>
      </w:r>
    </w:p>
    <w:p w14:paraId="0CB3550F" w14:textId="77777777" w:rsidR="009B1575" w:rsidRDefault="009B1575" w:rsidP="009B1575">
      <w:r>
        <w:t xml:space="preserve">Assume that, for the sake of the argument, we conduct a TNS for the assessment of influenza VE, with full ascertainment of all influenza infections, both symptomatic and asymptomatic. Using the notation of {Wu, 2018 #21}, </w:t>
      </w:r>
      <m:oMath>
        <m:r>
          <w:rPr>
            <w:rFonts w:ascii="Cambria Math" w:hAnsi="Cambria Math"/>
          </w:rPr>
          <m:t>β</m:t>
        </m:r>
      </m:oMath>
      <w:r>
        <w:t xml:space="preserve"> is the probability of infection from a contact which, in the unvaccinated, would have resulted in </w:t>
      </w:r>
      <w:r>
        <w:lastRenderedPageBreak/>
        <w:t xml:space="preserve">infection. If the rate of influenza infection in the unvaccinated were to be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the rate in the vaccinated would amount to  </w:t>
      </w:r>
      <m:oMath>
        <m:r>
          <w:rPr>
            <w:rFonts w:ascii="Cambria Math" w:hAnsi="Cambria Math"/>
          </w:rPr>
          <m:t>β</m:t>
        </m:r>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and the rate ratio of infection, comparing vaccinated to unvaccinated, would be </w:t>
      </w:r>
      <m:oMath>
        <m:r>
          <w:rPr>
            <w:rFonts w:ascii="Cambria Math" w:hAnsi="Cambria Math"/>
          </w:rPr>
          <m:t>β</m:t>
        </m:r>
      </m:oMath>
      <w:r>
        <w:t xml:space="preserve">. It is well known that the incidence rate ratio </w:t>
      </w:r>
      <m:oMath>
        <m:r>
          <w:rPr>
            <w:rFonts w:ascii="Cambria Math" w:hAnsi="Cambria Math"/>
          </w:rPr>
          <m:t>β</m:t>
        </m:r>
      </m:oMath>
      <w:r>
        <w:t xml:space="preserve"> is estimated by the odds ratio, as long as incidence density sampling is followed, controls are drawn from “only actual candidates for the illness” {</w:t>
      </w:r>
      <w:proofErr w:type="spellStart"/>
      <w:r>
        <w:t>Miettinen</w:t>
      </w:r>
      <w:proofErr w:type="spellEnd"/>
      <w:r>
        <w:t xml:space="preserve">, 1976 #23}, i.e. people susceptible to influenza infection and some other fundamental conditions are met. </w:t>
      </w:r>
    </w:p>
    <w:p w14:paraId="56D2EA54" w14:textId="77777777" w:rsidR="009B1575" w:rsidRDefault="009B1575" w:rsidP="009B1575">
      <w:r>
        <w:t xml:space="preserve">VE can then be estimated as </w:t>
      </w:r>
    </w:p>
    <w:p w14:paraId="74747619" w14:textId="77777777" w:rsidR="009B1575" w:rsidRPr="00DD6D6D" w:rsidRDefault="00342148" w:rsidP="009B1575">
      <w:pPr>
        <w:pStyle w:val="Caption"/>
        <w:jc w:val="center"/>
        <w:rPr>
          <w:rFonts w:eastAsiaTheme="minorEastAsia"/>
          <w:i w:val="0"/>
        </w:rPr>
      </w:pPr>
      <m:oMath>
        <m:acc>
          <m:accPr>
            <m:ctrlPr>
              <w:rPr>
                <w:rFonts w:ascii="Cambria Math" w:hAnsi="Cambria Math"/>
                <w:iCs w:val="0"/>
                <w:color w:val="auto"/>
                <w:sz w:val="22"/>
                <w:szCs w:val="22"/>
              </w:rPr>
            </m:ctrlPr>
          </m:accPr>
          <m:e>
            <m:r>
              <w:rPr>
                <w:rFonts w:ascii="Cambria Math" w:hAnsi="Cambria Math"/>
              </w:rPr>
              <m:t>VE</m:t>
            </m:r>
          </m:e>
        </m:acc>
        <m:r>
          <w:rPr>
            <w:rFonts w:ascii="Cambria Math" w:hAnsi="Cambria Math"/>
          </w:rPr>
          <m:t>=1-</m:t>
        </m:r>
        <m:f>
          <m:fPr>
            <m:ctrlPr>
              <w:rPr>
                <w:rFonts w:ascii="Cambria Math" w:hAnsi="Cambria Math"/>
                <w:iCs w:val="0"/>
                <w:color w:val="auto"/>
                <w:sz w:val="22"/>
                <w:szCs w:val="22"/>
              </w:rPr>
            </m:ctrlPr>
          </m:fPr>
          <m:num>
            <m:sSub>
              <m:sSubPr>
                <m:ctrlPr>
                  <w:rPr>
                    <w:rFonts w:ascii="Cambria Math" w:hAnsi="Cambria Math"/>
                    <w:iCs w:val="0"/>
                    <w:color w:val="auto"/>
                    <w:sz w:val="22"/>
                    <w:szCs w:val="22"/>
                  </w:rPr>
                </m:ctrlPr>
              </m:sSubPr>
              <m:e>
                <m:r>
                  <w:rPr>
                    <w:rFonts w:ascii="Cambria Math" w:hAnsi="Cambria Math"/>
                  </w:rPr>
                  <m:t>c</m:t>
                </m:r>
              </m:e>
              <m:sub>
                <m:r>
                  <w:rPr>
                    <w:rFonts w:ascii="Cambria Math" w:hAnsi="Cambria Math"/>
                  </w:rPr>
                  <m:t>11</m:t>
                </m:r>
              </m:sub>
            </m:sSub>
            <m:r>
              <w:rPr>
                <w:rFonts w:ascii="Cambria Math" w:hAnsi="Cambria Math"/>
              </w:rPr>
              <m:t>×</m:t>
            </m:r>
            <m:sSub>
              <m:sSubPr>
                <m:ctrlPr>
                  <w:rPr>
                    <w:rFonts w:ascii="Cambria Math" w:hAnsi="Cambria Math"/>
                    <w:iCs w:val="0"/>
                    <w:color w:val="auto"/>
                    <w:sz w:val="22"/>
                    <w:szCs w:val="22"/>
                  </w:rPr>
                </m:ctrlPr>
              </m:sSubPr>
              <m:e>
                <m:r>
                  <w:rPr>
                    <w:rFonts w:ascii="Cambria Math" w:hAnsi="Cambria Math"/>
                  </w:rPr>
                  <m:t>c</m:t>
                </m:r>
              </m:e>
              <m:sub>
                <m:r>
                  <w:rPr>
                    <w:rFonts w:ascii="Cambria Math" w:hAnsi="Cambria Math"/>
                  </w:rPr>
                  <m:t>00</m:t>
                </m:r>
              </m:sub>
            </m:sSub>
          </m:num>
          <m:den>
            <m:sSub>
              <m:sSubPr>
                <m:ctrlPr>
                  <w:rPr>
                    <w:rFonts w:ascii="Cambria Math" w:hAnsi="Cambria Math"/>
                    <w:iCs w:val="0"/>
                    <w:color w:val="auto"/>
                    <w:sz w:val="22"/>
                    <w:szCs w:val="22"/>
                  </w:rPr>
                </m:ctrlPr>
              </m:sSubPr>
              <m:e>
                <m:r>
                  <w:rPr>
                    <w:rFonts w:ascii="Cambria Math" w:hAnsi="Cambria Math"/>
                  </w:rPr>
                  <m:t>c</m:t>
                </m:r>
              </m:e>
              <m:sub>
                <m:r>
                  <w:rPr>
                    <w:rFonts w:ascii="Cambria Math" w:hAnsi="Cambria Math"/>
                  </w:rPr>
                  <m:t>01</m:t>
                </m:r>
              </m:sub>
            </m:sSub>
            <m:r>
              <w:rPr>
                <w:rFonts w:ascii="Cambria Math" w:hAnsi="Cambria Math"/>
              </w:rPr>
              <m:t>×</m:t>
            </m:r>
            <m:sSub>
              <m:sSubPr>
                <m:ctrlPr>
                  <w:rPr>
                    <w:rFonts w:ascii="Cambria Math" w:hAnsi="Cambria Math"/>
                    <w:iCs w:val="0"/>
                    <w:color w:val="auto"/>
                    <w:sz w:val="22"/>
                    <w:szCs w:val="22"/>
                  </w:rPr>
                </m:ctrlPr>
              </m:sSubPr>
              <m:e>
                <m:r>
                  <w:rPr>
                    <w:rFonts w:ascii="Cambria Math" w:hAnsi="Cambria Math"/>
                  </w:rPr>
                  <m:t>c</m:t>
                </m:r>
              </m:e>
              <m:sub>
                <m:r>
                  <w:rPr>
                    <w:rFonts w:ascii="Cambria Math" w:hAnsi="Cambria Math"/>
                  </w:rPr>
                  <m:t>01</m:t>
                </m:r>
              </m:sub>
            </m:sSub>
          </m:den>
        </m:f>
      </m:oMath>
      <w:r w:rsidR="009B1575">
        <w:rPr>
          <w:rFonts w:eastAsiaTheme="minorEastAsia"/>
          <w:iCs w:val="0"/>
          <w:color w:val="auto"/>
          <w:sz w:val="22"/>
          <w:szCs w:val="22"/>
        </w:rPr>
        <w:t xml:space="preserve"> </w:t>
      </w:r>
      <w:r w:rsidR="009B1575" w:rsidRPr="00DD6D6D">
        <w:rPr>
          <w:rFonts w:eastAsiaTheme="minorEastAsia"/>
          <w:i w:val="0"/>
          <w:iCs w:val="0"/>
          <w:color w:val="auto"/>
          <w:sz w:val="22"/>
          <w:szCs w:val="22"/>
        </w:rPr>
        <w:t xml:space="preserve">  </w:t>
      </w:r>
      <w:r w:rsidR="009B1575">
        <w:rPr>
          <w:rFonts w:eastAsiaTheme="minorEastAsia"/>
          <w:i w:val="0"/>
          <w:iCs w:val="0"/>
          <w:color w:val="auto"/>
          <w:sz w:val="22"/>
          <w:szCs w:val="22"/>
        </w:rPr>
        <w:t xml:space="preserve"> </w:t>
      </w:r>
      <w:r w:rsidR="009B1575" w:rsidRPr="00DD6D6D">
        <w:rPr>
          <w:rFonts w:eastAsiaTheme="minorEastAsia"/>
          <w:i w:val="0"/>
          <w:iCs w:val="0"/>
          <w:color w:val="auto"/>
        </w:rPr>
        <w:t>(</w:t>
      </w:r>
      <w:r w:rsidR="009B1575" w:rsidRPr="00DD6D6D">
        <w:rPr>
          <w:rFonts w:eastAsiaTheme="minorEastAsia"/>
          <w:i w:val="0"/>
        </w:rPr>
        <w:fldChar w:fldCharType="begin"/>
      </w:r>
      <m:oMath>
        <m:r>
          <w:rPr>
            <w:rFonts w:ascii="Cambria Math" w:hAnsi="Cambria Math"/>
          </w:rPr>
          <m:t xml:space="preserve"> SEQ Equation \* ARABIC </m:t>
        </m:r>
      </m:oMath>
      <w:r w:rsidR="009B1575" w:rsidRPr="00DD6D6D">
        <w:rPr>
          <w:rFonts w:eastAsiaTheme="minorEastAsia"/>
          <w:i w:val="0"/>
        </w:rPr>
        <w:fldChar w:fldCharType="separate"/>
      </w:r>
      <m:oMath>
        <m:r>
          <w:rPr>
            <w:rFonts w:ascii="Cambria Math" w:hAnsi="Cambria Math"/>
            <w:noProof/>
          </w:rPr>
          <m:t>1</m:t>
        </m:r>
      </m:oMath>
      <w:r w:rsidR="009B1575" w:rsidRPr="00DD6D6D">
        <w:rPr>
          <w:rFonts w:eastAsiaTheme="minorEastAsia"/>
          <w:i w:val="0"/>
        </w:rPr>
        <w:fldChar w:fldCharType="end"/>
      </w:r>
      <w:r w:rsidR="009B1575" w:rsidRPr="00DD6D6D">
        <w:rPr>
          <w:rFonts w:eastAsiaTheme="minorEastAsia"/>
          <w:i w:val="0"/>
        </w:rPr>
        <w:t>)</w:t>
      </w:r>
    </w:p>
    <w:p w14:paraId="32E39844" w14:textId="77777777" w:rsidR="009B1575" w:rsidRDefault="009B1575" w:rsidP="009B1575">
      <w:pPr>
        <w:rPr>
          <w:rFonts w:eastAsiaTheme="minorEastAsia"/>
        </w:rPr>
      </w:pPr>
      <w:r>
        <w:rPr>
          <w:rFonts w:eastAsiaTheme="minorEastAsia"/>
        </w:rPr>
        <w:t xml:space="preserve">where </w:t>
      </w:r>
      <m:oMath>
        <m:sSub>
          <m:sSubPr>
            <m:ctrlPr>
              <w:rPr>
                <w:rFonts w:ascii="Cambria Math" w:hAnsi="Cambria Math"/>
                <w:i/>
              </w:rPr>
            </m:ctrlPr>
          </m:sSubPr>
          <m:e>
            <m:r>
              <w:rPr>
                <w:rFonts w:ascii="Cambria Math" w:hAnsi="Cambria Math"/>
              </w:rPr>
              <m:t>c</m:t>
            </m:r>
          </m:e>
          <m:sub>
            <m:r>
              <w:rPr>
                <w:rFonts w:ascii="Cambria Math" w:hAnsi="Cambria Math"/>
              </w:rPr>
              <m:t>11</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10</m:t>
            </m:r>
          </m:sub>
        </m:sSub>
      </m:oMath>
      <w:r>
        <w:rPr>
          <w:rFonts w:eastAsiaTheme="minorEastAsia"/>
        </w:rPr>
        <w:t xml:space="preserve"> represent the number of vaccinated and unvaccinated cases and </w:t>
      </w:r>
      <m:oMath>
        <m:sSub>
          <m:sSubPr>
            <m:ctrlPr>
              <w:rPr>
                <w:rFonts w:ascii="Cambria Math" w:hAnsi="Cambria Math"/>
                <w:i/>
              </w:rPr>
            </m:ctrlPr>
          </m:sSubPr>
          <m:e>
            <m:r>
              <w:rPr>
                <w:rFonts w:ascii="Cambria Math" w:hAnsi="Cambria Math"/>
              </w:rPr>
              <m:t>c</m:t>
            </m:r>
          </m:e>
          <m:sub>
            <m:r>
              <w:rPr>
                <w:rFonts w:ascii="Cambria Math" w:hAnsi="Cambria Math"/>
              </w:rPr>
              <m:t>01</m:t>
            </m:r>
          </m:sub>
        </m:sSub>
      </m:oMath>
      <w:r>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00</m:t>
            </m:r>
          </m:sub>
        </m:sSub>
      </m:oMath>
      <w:r>
        <w:rPr>
          <w:rFonts w:eastAsiaTheme="minorEastAsia"/>
        </w:rPr>
        <w:t xml:space="preserve"> represent controls. However, if controls are not restricted to “actual candidates”, i.e. subjects susceptible to influenza infection, then the vaccinated pool of susceptible individuals will be depleted more rapidly than the vaccinated (see Appendix 1), “</w:t>
      </w:r>
      <w:r w:rsidRPr="00013A1A">
        <w:rPr>
          <w:rFonts w:eastAsiaTheme="minorEastAsia"/>
        </w:rPr>
        <w:t>making the rate of new cases in the two groups converge or, in extreme cases, even cross, so that observed incidence is higher in the vaccinated than the unvaccinated group</w:t>
      </w:r>
      <w:r>
        <w:rPr>
          <w:rFonts w:eastAsiaTheme="minorEastAsia"/>
        </w:rPr>
        <w:t>” {</w:t>
      </w:r>
      <w:proofErr w:type="spellStart"/>
      <w:r>
        <w:rPr>
          <w:rFonts w:eastAsiaTheme="minorEastAsia"/>
        </w:rPr>
        <w:t>Lipsitch</w:t>
      </w:r>
      <w:proofErr w:type="spellEnd"/>
      <w:r>
        <w:rPr>
          <w:rFonts w:eastAsiaTheme="minorEastAsia"/>
        </w:rPr>
        <w:t xml:space="preserve">, 2018 #20}. Hence, expression (1) will become increasingly biased downwards. </w:t>
      </w:r>
    </w:p>
    <w:p w14:paraId="605533DB" w14:textId="77777777" w:rsidR="009B1575" w:rsidRPr="003B5B96" w:rsidRDefault="009B1575" w:rsidP="009B1575">
      <w:pPr>
        <w:rPr>
          <w:rFonts w:eastAsiaTheme="minorEastAsia"/>
          <w:i/>
          <w:u w:val="single"/>
        </w:rPr>
      </w:pPr>
      <w:r w:rsidRPr="003B5B96">
        <w:rPr>
          <w:rFonts w:eastAsiaTheme="minorEastAsia"/>
          <w:i/>
          <w:u w:val="single"/>
        </w:rPr>
        <w:t>Bias in vaccinated-only analys</w:t>
      </w:r>
      <w:r>
        <w:rPr>
          <w:rFonts w:eastAsiaTheme="minorEastAsia"/>
          <w:i/>
          <w:u w:val="single"/>
        </w:rPr>
        <w:t>e</w:t>
      </w:r>
      <w:r w:rsidRPr="003B5B96">
        <w:rPr>
          <w:rFonts w:eastAsiaTheme="minorEastAsia"/>
          <w:i/>
          <w:u w:val="single"/>
        </w:rPr>
        <w:t>s</w:t>
      </w:r>
    </w:p>
    <w:p w14:paraId="3FB33984" w14:textId="77777777" w:rsidR="009B1575" w:rsidRDefault="009B1575" w:rsidP="009B1575">
      <w:pPr>
        <w:rPr>
          <w:rFonts w:eastAsiaTheme="minorEastAsia"/>
        </w:rPr>
      </w:pPr>
      <w:r>
        <w:rPr>
          <w:rFonts w:eastAsiaTheme="minorEastAsia"/>
        </w:rPr>
        <w:t>Ray et al. {Ray, 2018 #1} proposed an analysis that only includes vaccinated subjects and modeled time since vaccination, as a categorical variable with 28-day increments, to capture a waning effect, implemented using conditional logistic regression analysis, with day of recruitment as sub-setting variable. While this approach, on first sight, appears to solve the problem of differential depletion of susceptibles by vaccination status, the problem persists and the effects associated with the time-since-vaccination variable (the most recently vaccinated as reference category) are expected to be more positive with increasing time since vaccination. This will only be true if vaccination uptake overlaps with transmission and here is the intuitive reason:  Those vaccinated most recently had been, until their vaccination, been exposed to the unabated infection pressure, while those having been vaccinated for longer had profited from reduced infection risk for longer.  As a result, among those having been vaccinated just recently, a lower proportion than among those who had gotten vaccinated a longer time ago remains susceptible to influenza infection (Appendix 2).  Therefore, the case-control ratio shifts increases with increasing time since vaccination, imitating waning immunity.</w:t>
      </w:r>
    </w:p>
    <w:p w14:paraId="0B53C096" w14:textId="6E13D96A" w:rsidR="009B1575" w:rsidRDefault="009B1575" w:rsidP="002F58EC">
      <w:pPr>
        <w:rPr>
          <w:b/>
        </w:rPr>
      </w:pPr>
    </w:p>
    <w:p w14:paraId="3678DB6B" w14:textId="77777777" w:rsidR="009B1575" w:rsidRPr="009B1575" w:rsidRDefault="009B1575" w:rsidP="009B1575">
      <w:pPr>
        <w:rPr>
          <w:rFonts w:eastAsiaTheme="minorEastAsia"/>
          <w:u w:val="single"/>
        </w:rPr>
      </w:pPr>
      <w:r w:rsidRPr="009B1575">
        <w:rPr>
          <w:rFonts w:eastAsiaTheme="minorEastAsia"/>
          <w:u w:val="single"/>
        </w:rPr>
        <w:t>Simulation studies</w:t>
      </w:r>
    </w:p>
    <w:p w14:paraId="219FC679" w14:textId="566C6E7C" w:rsidR="009B1575" w:rsidRDefault="009B1575" w:rsidP="009B1575">
      <w:pPr>
        <w:rPr>
          <w:rFonts w:eastAsiaTheme="minorEastAsia"/>
          <w:i/>
        </w:rPr>
      </w:pPr>
      <w:r w:rsidRPr="009B1575">
        <w:rPr>
          <w:rFonts w:eastAsiaTheme="minorEastAsia"/>
          <w:i/>
        </w:rPr>
        <w:t>Simulation study 1</w:t>
      </w:r>
    </w:p>
    <w:p w14:paraId="18D77CB7" w14:textId="3E9C599C" w:rsidR="009B1575" w:rsidRPr="009B1575" w:rsidRDefault="009B1575" w:rsidP="009B1575">
      <w:pPr>
        <w:rPr>
          <w:rFonts w:eastAsiaTheme="minorEastAsia"/>
        </w:rPr>
      </w:pPr>
    </w:p>
    <w:p w14:paraId="0A88A043" w14:textId="0A17D12B" w:rsidR="0023476D" w:rsidRDefault="009B1575" w:rsidP="009B1575">
      <w:pPr>
        <w:rPr>
          <w:rFonts w:eastAsiaTheme="minorEastAsia"/>
        </w:rPr>
      </w:pPr>
      <w:r w:rsidRPr="009B1575">
        <w:rPr>
          <w:rFonts w:eastAsiaTheme="minorEastAsia"/>
          <w:i/>
        </w:rPr>
        <w:t>Simulation study 2</w:t>
      </w:r>
    </w:p>
    <w:p w14:paraId="4EC0135F" w14:textId="77777777" w:rsidR="0023476D" w:rsidRDefault="0023476D">
      <w:pPr>
        <w:rPr>
          <w:rFonts w:eastAsiaTheme="minorEastAsia"/>
        </w:rPr>
      </w:pPr>
      <w:r>
        <w:rPr>
          <w:rFonts w:eastAsiaTheme="minorEastAsia"/>
        </w:rPr>
        <w:br w:type="page"/>
      </w:r>
    </w:p>
    <w:p w14:paraId="5498EF0E" w14:textId="017CE266" w:rsidR="009B1575" w:rsidRDefault="0023476D" w:rsidP="009B1575">
      <w:pPr>
        <w:rPr>
          <w:b/>
        </w:rPr>
      </w:pPr>
      <w:r>
        <w:rPr>
          <w:b/>
        </w:rPr>
        <w:lastRenderedPageBreak/>
        <w:t>Figures</w:t>
      </w:r>
    </w:p>
    <w:p w14:paraId="2F060214" w14:textId="245B2286" w:rsidR="0023476D" w:rsidRDefault="0023476D" w:rsidP="009B1575">
      <w:pPr>
        <w:rPr>
          <w:b/>
        </w:rPr>
      </w:pPr>
      <w:r>
        <w:rPr>
          <w:noProof/>
        </w:rPr>
        <mc:AlternateContent>
          <mc:Choice Requires="wps">
            <w:drawing>
              <wp:anchor distT="0" distB="0" distL="114300" distR="114300" simplePos="0" relativeHeight="251666432" behindDoc="0" locked="0" layoutInCell="1" allowOverlap="1" wp14:anchorId="57484393" wp14:editId="195164CE">
                <wp:simplePos x="0" y="0"/>
                <wp:positionH relativeFrom="margin">
                  <wp:align>center</wp:align>
                </wp:positionH>
                <wp:positionV relativeFrom="page">
                  <wp:posOffset>1209040</wp:posOffset>
                </wp:positionV>
                <wp:extent cx="6162675" cy="266700"/>
                <wp:effectExtent l="0" t="0" r="9525" b="0"/>
                <wp:wrapTopAndBottom/>
                <wp:docPr id="1" name="Text Box 1"/>
                <wp:cNvGraphicFramePr/>
                <a:graphic xmlns:a="http://schemas.openxmlformats.org/drawingml/2006/main">
                  <a:graphicData uri="http://schemas.microsoft.com/office/word/2010/wordprocessingShape">
                    <wps:wsp>
                      <wps:cNvSpPr txBox="1"/>
                      <wps:spPr>
                        <a:xfrm>
                          <a:off x="0" y="0"/>
                          <a:ext cx="6162675" cy="266700"/>
                        </a:xfrm>
                        <a:prstGeom prst="rect">
                          <a:avLst/>
                        </a:prstGeom>
                        <a:solidFill>
                          <a:prstClr val="white"/>
                        </a:solidFill>
                        <a:ln>
                          <a:noFill/>
                        </a:ln>
                      </wps:spPr>
                      <wps:txbx>
                        <w:txbxContent>
                          <w:p w14:paraId="03851AA0" w14:textId="23ABA205" w:rsidR="0023476D" w:rsidRPr="00F06001" w:rsidRDefault="0023476D" w:rsidP="0023476D">
                            <w:pPr>
                              <w:pStyle w:val="Caption"/>
                              <w:rPr>
                                <w:b/>
                                <w:noProof/>
                              </w:rPr>
                            </w:pPr>
                            <w:r>
                              <w:t xml:space="preserve">Figure </w:t>
                            </w:r>
                            <w:r>
                              <w:fldChar w:fldCharType="begin"/>
                            </w:r>
                            <w:r>
                              <w:instrText xml:space="preserve"> SEQ Figure \* ARABIC </w:instrText>
                            </w:r>
                            <w:r>
                              <w:fldChar w:fldCharType="separate"/>
                            </w:r>
                            <w:r>
                              <w:rPr>
                                <w:noProof/>
                              </w:rPr>
                              <w:t>1</w:t>
                            </w:r>
                            <w:r>
                              <w:fldChar w:fldCharType="end"/>
                            </w:r>
                            <w:r>
                              <w:t>.  VE estimates over time by 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484393" id="_x0000_t202" coordsize="21600,21600" o:spt="202" path="m,l,21600r21600,l21600,xe">
                <v:stroke joinstyle="miter"/>
                <v:path gradientshapeok="t" o:connecttype="rect"/>
              </v:shapetype>
              <v:shape id="Text Box 1" o:spid="_x0000_s1026" type="#_x0000_t202" style="position:absolute;margin-left:0;margin-top:95.2pt;width:485.25pt;height:21pt;z-index:25166643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" stroked="f">
                <v:textbox style="mso-fit-shape-to-text:t" inset="0,0,0,0">
                  <w:txbxContent>
                    <w:p w14:paraId="03851AA0" w14:textId="23ABA205" w:rsidR="0023476D" w:rsidRPr="00F06001" w:rsidRDefault="0023476D" w:rsidP="0023476D">
                      <w:pPr>
                        <w:pStyle w:val="Caption"/>
                        <w:rPr>
                          <w:b/>
                          <w:noProof/>
                        </w:rPr>
                      </w:pPr>
                      <w:r>
                        <w:t xml:space="preserve">Figure </w:t>
                      </w:r>
                      <w:r>
                        <w:fldChar w:fldCharType="begin"/>
                      </w:r>
                      <w:r>
                        <w:instrText xml:space="preserve"> SEQ Figure \* ARABIC </w:instrText>
                      </w:r>
                      <w:r>
                        <w:fldChar w:fldCharType="separate"/>
                      </w:r>
                      <w:r>
                        <w:rPr>
                          <w:noProof/>
                        </w:rPr>
                        <w:t>1</w:t>
                      </w:r>
                      <w:r>
                        <w:fldChar w:fldCharType="end"/>
                      </w:r>
                      <w:r>
                        <w:t>.  VE estimates over time by VE.</w:t>
                      </w:r>
                    </w:p>
                  </w:txbxContent>
                </v:textbox>
                <w10:wrap type="topAndBottom" anchorx="margin" anchory="page"/>
              </v:shape>
            </w:pict>
          </mc:Fallback>
        </mc:AlternateContent>
      </w:r>
      <w:r w:rsidR="00342148">
        <w:rPr>
          <w:b/>
          <w:noProof/>
        </w:rPr>
        <w:object w:dxaOrig="1440" w:dyaOrig="1440" w14:anchorId="1D2C8E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24.75pt;margin-top:40.5pt;width:485.25pt;height:375pt;z-index:251664384;mso-position-horizontal-relative:text;mso-position-vertical-relative:text" o:allowoverlap="f">
            <v:imagedata r:id="rId5" o:title=""/>
            <w10:wrap type="topAndBottom"/>
            <w10:anchorlock/>
          </v:shape>
          <o:OLEObject Type="Embed" ProgID="AcroExch.Document.2015" ShapeID="_x0000_s1030" DrawAspect="Content" ObjectID="_1599558366" r:id="rId6"/>
        </w:object>
      </w:r>
    </w:p>
    <w:p w14:paraId="44D53436" w14:textId="2124A4DC" w:rsidR="0023476D" w:rsidRDefault="0023476D">
      <w:pPr>
        <w:rPr>
          <w:b/>
        </w:rPr>
      </w:pPr>
      <w:r>
        <w:rPr>
          <w:noProof/>
        </w:rPr>
        <w:lastRenderedPageBreak/>
        <mc:AlternateContent>
          <mc:Choice Requires="wps">
            <w:drawing>
              <wp:anchor distT="0" distB="0" distL="114300" distR="114300" simplePos="0" relativeHeight="251668480" behindDoc="0" locked="0" layoutInCell="1" allowOverlap="1" wp14:anchorId="15D55880" wp14:editId="1C28EF97">
                <wp:simplePos x="0" y="0"/>
                <wp:positionH relativeFrom="column">
                  <wp:posOffset>0</wp:posOffset>
                </wp:positionH>
                <wp:positionV relativeFrom="paragraph">
                  <wp:posOffset>8397875</wp:posOffset>
                </wp:positionV>
                <wp:extent cx="6162675"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6162675" cy="635"/>
                        </a:xfrm>
                        <a:prstGeom prst="rect">
                          <a:avLst/>
                        </a:prstGeom>
                        <a:solidFill>
                          <a:prstClr val="white"/>
                        </a:solidFill>
                        <a:ln>
                          <a:noFill/>
                        </a:ln>
                      </wps:spPr>
                      <wps:txbx>
                        <w:txbxContent>
                          <w:p w14:paraId="2A017DF3" w14:textId="16201142" w:rsidR="0023476D" w:rsidRPr="003E64AA" w:rsidRDefault="0023476D" w:rsidP="0023476D">
                            <w:pPr>
                              <w:pStyle w:val="Caption"/>
                              <w:rPr>
                                <w:b/>
                                <w:noProof/>
                              </w:rPr>
                            </w:pPr>
                            <w:r>
                              <w:t xml:space="preserve">Figure </w:t>
                            </w:r>
                            <w:r w:rsidR="00342148">
                              <w:rPr>
                                <w:noProof/>
                              </w:rPr>
                              <w:fldChar w:fldCharType="begin"/>
                            </w:r>
                            <w:r w:rsidR="00342148">
                              <w:rPr>
                                <w:noProof/>
                              </w:rPr>
                              <w:instrText xml:space="preserve"> SEQ Figure \* ARABIC </w:instrText>
                            </w:r>
                            <w:r w:rsidR="00342148">
                              <w:rPr>
                                <w:noProof/>
                              </w:rPr>
                              <w:fldChar w:fldCharType="separate"/>
                            </w:r>
                            <w:r>
                              <w:rPr>
                                <w:noProof/>
                              </w:rPr>
                              <w:t>2</w:t>
                            </w:r>
                            <w:r w:rsidR="00342148">
                              <w:rPr>
                                <w:noProof/>
                              </w:rPr>
                              <w:fldChar w:fldCharType="end"/>
                            </w:r>
                            <w:r>
                              <w:t>.  Relative bias in VE estimates over time, by 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D55880" id="Text Box 2" o:spid="_x0000_s1027" type="#_x0000_t202" style="position:absolute;margin-left:0;margin-top:661.25pt;width:485.2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eerLgIAAGQEAAAOAAAAZHJzL2Uyb0RvYy54bWysVMFu2zAMvQ/YPwi6L06yNRuM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" stroked="f">
                <v:textbox style="mso-fit-shape-to-text:t" inset="0,0,0,0">
                  <w:txbxContent>
                    <w:p w14:paraId="2A017DF3" w14:textId="16201142" w:rsidR="0023476D" w:rsidRPr="003E64AA" w:rsidRDefault="0023476D" w:rsidP="0023476D">
                      <w:pPr>
                        <w:pStyle w:val="Caption"/>
                        <w:rPr>
                          <w:b/>
                          <w:noProof/>
                        </w:rPr>
                      </w:pPr>
                      <w:r>
                        <w:t xml:space="preserve">Figure </w:t>
                      </w:r>
                      <w:r w:rsidR="00342148">
                        <w:rPr>
                          <w:noProof/>
                        </w:rPr>
                        <w:fldChar w:fldCharType="begin"/>
                      </w:r>
                      <w:r w:rsidR="00342148">
                        <w:rPr>
                          <w:noProof/>
                        </w:rPr>
                        <w:instrText xml:space="preserve"> SEQ Figure \* ARABIC </w:instrText>
                      </w:r>
                      <w:r w:rsidR="00342148">
                        <w:rPr>
                          <w:noProof/>
                        </w:rPr>
                        <w:fldChar w:fldCharType="separate"/>
                      </w:r>
                      <w:r>
                        <w:rPr>
                          <w:noProof/>
                        </w:rPr>
                        <w:t>2</w:t>
                      </w:r>
                      <w:r w:rsidR="00342148">
                        <w:rPr>
                          <w:noProof/>
                        </w:rPr>
                        <w:fldChar w:fldCharType="end"/>
                      </w:r>
                      <w:r>
                        <w:t>.  Relative bias in VE estimates over time, by VE.</w:t>
                      </w:r>
                    </w:p>
                  </w:txbxContent>
                </v:textbox>
                <w10:wrap type="topAndBottom"/>
              </v:shape>
            </w:pict>
          </mc:Fallback>
        </mc:AlternateContent>
      </w:r>
      <w:r w:rsidR="00342148">
        <w:rPr>
          <w:b/>
          <w:noProof/>
        </w:rPr>
        <w:object w:dxaOrig="1440" w:dyaOrig="1440" w14:anchorId="1D2C8E0B">
          <v:shape id="_x0000_s1029" type="#_x0000_t75" style="position:absolute;margin-left:0;margin-top:308.5pt;width:485.25pt;height:375pt;z-index:251663360;mso-position-horizontal-relative:text;mso-position-vertical-relative:text" o:allowoverlap="f">
            <v:imagedata r:id="rId5" o:title=""/>
            <w10:wrap type="topAndBottom"/>
            <w10:anchorlock/>
          </v:shape>
          <o:OLEObject Type="Embed" ProgID="AcroExch.Document.2015" ShapeID="_x0000_s1029" DrawAspect="Content" ObjectID="_1599558367" r:id="rId7"/>
        </w:object>
      </w:r>
      <w:r>
        <w:rPr>
          <w:b/>
        </w:rPr>
        <w:br w:type="page"/>
      </w:r>
    </w:p>
    <w:p w14:paraId="4A473253" w14:textId="28627C4F" w:rsidR="0023476D" w:rsidRDefault="00342148">
      <w:pPr>
        <w:rPr>
          <w:b/>
        </w:rPr>
      </w:pPr>
      <w:r>
        <w:rPr>
          <w:b/>
          <w:noProof/>
        </w:rPr>
        <w:lastRenderedPageBreak/>
        <w:object w:dxaOrig="1440" w:dyaOrig="1440" w14:anchorId="7DD6C904">
          <v:shape id="_x0000_s1028" type="#_x0000_t75" style="position:absolute;margin-left:-12.75pt;margin-top:292pt;width:507pt;height:391.5pt;z-index:251662336;mso-position-horizontal-relative:text;mso-position-vertical-relative:text" o:allowoverlap="f">
            <v:imagedata r:id="rId8" o:title=""/>
            <w10:wrap type="topAndBottom"/>
            <w10:anchorlock/>
          </v:shape>
          <o:OLEObject Type="Embed" ProgID="AcroExch.Document.2015" ShapeID="_x0000_s1028" DrawAspect="Content" ObjectID="_1599558368" r:id="rId9"/>
        </w:object>
      </w:r>
      <w:r w:rsidR="0023476D">
        <w:rPr>
          <w:b/>
        </w:rPr>
        <w:br w:type="page"/>
      </w:r>
    </w:p>
    <w:p w14:paraId="791196F6" w14:textId="726A399F" w:rsidR="0023476D" w:rsidRPr="0023476D" w:rsidRDefault="0023476D" w:rsidP="009B1575">
      <w:pPr>
        <w:rPr>
          <w:b/>
        </w:rPr>
      </w:pPr>
    </w:p>
    <w:sectPr w:rsidR="0023476D" w:rsidRPr="0023476D" w:rsidSect="00D26908">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Amer J Prev Medicin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2F58EC"/>
    <w:rsid w:val="00013A1A"/>
    <w:rsid w:val="00066B30"/>
    <w:rsid w:val="0023476D"/>
    <w:rsid w:val="002F58EC"/>
    <w:rsid w:val="00336781"/>
    <w:rsid w:val="00342148"/>
    <w:rsid w:val="003B5B96"/>
    <w:rsid w:val="00414A8D"/>
    <w:rsid w:val="004D55BF"/>
    <w:rsid w:val="00543AA4"/>
    <w:rsid w:val="006E56E9"/>
    <w:rsid w:val="00702F2B"/>
    <w:rsid w:val="007E72A7"/>
    <w:rsid w:val="00816D0F"/>
    <w:rsid w:val="00876C76"/>
    <w:rsid w:val="008979F7"/>
    <w:rsid w:val="009B1575"/>
    <w:rsid w:val="00BA46B0"/>
    <w:rsid w:val="00C55687"/>
    <w:rsid w:val="00C90323"/>
    <w:rsid w:val="00D26908"/>
    <w:rsid w:val="00D922EE"/>
    <w:rsid w:val="00DD6D6D"/>
    <w:rsid w:val="00F64A15"/>
    <w:rsid w:val="00FC7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E47BD66"/>
  <w15:chartTrackingRefBased/>
  <w15:docId w15:val="{6A041328-69DE-4070-ADB1-B398DBA97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6781"/>
    <w:rPr>
      <w:color w:val="808080"/>
    </w:rPr>
  </w:style>
  <w:style w:type="paragraph" w:styleId="Caption">
    <w:name w:val="caption"/>
    <w:basedOn w:val="Normal"/>
    <w:next w:val="Normal"/>
    <w:uiPriority w:val="35"/>
    <w:unhideWhenUsed/>
    <w:qFormat/>
    <w:rsid w:val="00BA46B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oleObject" Target="embeddings/oleObject2.bin"/><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54B0B-265E-436E-97D6-033C9BB62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6</Pages>
  <Words>976</Words>
  <Characters>5566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Centers for Disease Control and Prevention</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Foppa</dc:creator>
  <cp:keywords/>
  <dc:description/>
  <cp:lastModifiedBy>Ivo Foppa</cp:lastModifiedBy>
  <cp:revision>9</cp:revision>
  <dcterms:created xsi:type="dcterms:W3CDTF">2018-09-26T18:36:00Z</dcterms:created>
  <dcterms:modified xsi:type="dcterms:W3CDTF">2018-09-27T17:00:00Z</dcterms:modified>
</cp:coreProperties>
</file>