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2F" w:rsidRPr="00A6182F" w:rsidRDefault="00A6182F" w:rsidP="00A6182F">
      <w:pPr>
        <w:autoSpaceDE w:val="0"/>
        <w:autoSpaceDN w:val="0"/>
        <w:adjustRightInd w:val="0"/>
        <w:rPr>
          <w:rFonts w:cs="Arial"/>
          <w:b/>
          <w:noProof/>
          <w:sz w:val="20"/>
          <w:lang w:eastAsia="pt-BR"/>
        </w:rPr>
      </w:pPr>
      <w:r w:rsidRPr="00A6182F">
        <w:rPr>
          <w:rFonts w:cs="Arial"/>
          <w:b/>
          <w:sz w:val="20"/>
        </w:rPr>
        <w:t xml:space="preserve">Programa de controle de Embalagens </w:t>
      </w:r>
    </w:p>
    <w:p w:rsidR="00A6182F" w:rsidRDefault="00A6182F" w:rsidP="00A6182F">
      <w:pPr>
        <w:pStyle w:val="PargrafodaLista"/>
        <w:autoSpaceDE w:val="0"/>
        <w:autoSpaceDN w:val="0"/>
        <w:adjustRightInd w:val="0"/>
        <w:rPr>
          <w:rFonts w:cs="Arial"/>
          <w:b/>
          <w:noProof/>
          <w:sz w:val="20"/>
          <w:lang w:eastAsia="pt-BR"/>
        </w:rPr>
      </w:pP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  <w:r w:rsidRPr="0013369B">
        <w:rPr>
          <w:rFonts w:cs="Arial"/>
          <w:sz w:val="20"/>
        </w:rPr>
        <w:t>Tem</w:t>
      </w:r>
      <w:r>
        <w:rPr>
          <w:rFonts w:cs="Arial"/>
          <w:sz w:val="20"/>
        </w:rPr>
        <w:t xml:space="preserve">, por objetivo, relatar ao usuário a quantidade de embalagens que determinado cliente deverá enviar a Ethos, para que essa possa atender a demanda de pedidos do cliente durante um determinado período. </w:t>
      </w:r>
    </w:p>
    <w:p w:rsidR="006C5F15" w:rsidRDefault="006C5F15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Esse período é de </w:t>
      </w:r>
      <w:proofErr w:type="gramStart"/>
      <w:r>
        <w:rPr>
          <w:rFonts w:cs="Arial"/>
          <w:sz w:val="20"/>
        </w:rPr>
        <w:t>7</w:t>
      </w:r>
      <w:proofErr w:type="gramEnd"/>
      <w:r>
        <w:rPr>
          <w:rFonts w:cs="Arial"/>
          <w:sz w:val="20"/>
        </w:rPr>
        <w:t xml:space="preserve"> dias tendo como data inicial 7 dias da data atual. </w:t>
      </w: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  <w:proofErr w:type="spellStart"/>
      <w:r>
        <w:rPr>
          <w:rFonts w:cs="Arial"/>
          <w:sz w:val="20"/>
        </w:rPr>
        <w:t>Ex</w:t>
      </w:r>
      <w:proofErr w:type="spellEnd"/>
      <w:r>
        <w:rPr>
          <w:rFonts w:cs="Arial"/>
          <w:sz w:val="20"/>
        </w:rPr>
        <w:t>: data atual 16/12/19</w:t>
      </w: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>Período a ser avaliado:</w:t>
      </w:r>
      <w:proofErr w:type="gramStart"/>
      <w:r>
        <w:rPr>
          <w:rFonts w:cs="Arial"/>
          <w:sz w:val="20"/>
        </w:rPr>
        <w:t xml:space="preserve">  </w:t>
      </w:r>
      <w:proofErr w:type="gramEnd"/>
      <w:r>
        <w:rPr>
          <w:rFonts w:cs="Arial"/>
          <w:sz w:val="20"/>
        </w:rPr>
        <w:t>23/12/19 –</w:t>
      </w:r>
      <w:r w:rsidR="006C5F15">
        <w:rPr>
          <w:rFonts w:cs="Arial"/>
          <w:sz w:val="20"/>
        </w:rPr>
        <w:t xml:space="preserve"> 29</w:t>
      </w:r>
      <w:r>
        <w:rPr>
          <w:rFonts w:cs="Arial"/>
          <w:sz w:val="20"/>
        </w:rPr>
        <w:t>/12/19</w:t>
      </w: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>Nesse caso, o programa deverá identificar a demanda do cliente para o período supra (somatória do saldo dos pedidos para cada item com prazo de entrega entre 23/12/19 –</w:t>
      </w:r>
      <w:r w:rsidR="006C5F15">
        <w:rPr>
          <w:rFonts w:cs="Arial"/>
          <w:sz w:val="20"/>
        </w:rPr>
        <w:t xml:space="preserve"> 29</w:t>
      </w:r>
      <w:r>
        <w:rPr>
          <w:rFonts w:cs="Arial"/>
          <w:sz w:val="20"/>
        </w:rPr>
        <w:t>/12/19</w:t>
      </w:r>
      <w:r w:rsidR="006C5F15">
        <w:rPr>
          <w:rFonts w:cs="Arial"/>
          <w:sz w:val="20"/>
        </w:rPr>
        <w:t>) e</w:t>
      </w:r>
      <w:r>
        <w:rPr>
          <w:rFonts w:cs="Arial"/>
          <w:sz w:val="20"/>
        </w:rPr>
        <w:t xml:space="preserve"> dividir a demanda pela quantidade que cabe em cada embalagem. Com isso, teremos a quantidade de embalagem que cada produto irá precisar para o mencionado período. </w:t>
      </w: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>Ocorre que o período a ser processado corresponde a 7 dias após a data atual. Então, o programa terá que calcular a quantidade de embalagens necessárias para esses 7 dias também (período de 16/12/19 – 22/12/19). Obtido esse valor, verificar o saldo atual da embalagem e abater do mesmo. Com isso, teremos o saldo de cada embalagem no dia 23/12/19 que corresponde a data inicial do período avaliado. Daí, basta subtrair o saldo da quantidade encontrada no período avaliado (23/12/19 –</w:t>
      </w:r>
      <w:r w:rsidR="006C5F15">
        <w:rPr>
          <w:rFonts w:cs="Arial"/>
          <w:sz w:val="20"/>
        </w:rPr>
        <w:t xml:space="preserve"> 29</w:t>
      </w:r>
      <w:r>
        <w:rPr>
          <w:rFonts w:cs="Arial"/>
          <w:sz w:val="20"/>
        </w:rPr>
        <w:t xml:space="preserve">/12/19) e teremos a quantidade necessária de cada embalagem. </w:t>
      </w:r>
      <w:proofErr w:type="spellStart"/>
      <w:r>
        <w:rPr>
          <w:rFonts w:cs="Arial"/>
          <w:sz w:val="20"/>
        </w:rPr>
        <w:t>Ex</w:t>
      </w:r>
      <w:proofErr w:type="spellEnd"/>
      <w:r>
        <w:rPr>
          <w:rFonts w:cs="Arial"/>
          <w:sz w:val="20"/>
        </w:rPr>
        <w:t>:</w:t>
      </w:r>
    </w:p>
    <w:p w:rsidR="006C5F15" w:rsidRDefault="006C5F15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>Período de 23/12/19 –</w:t>
      </w:r>
      <w:r w:rsidR="006C5F15">
        <w:rPr>
          <w:rFonts w:cs="Arial"/>
          <w:sz w:val="20"/>
        </w:rPr>
        <w:t xml:space="preserve"> 29</w:t>
      </w:r>
      <w:r>
        <w:rPr>
          <w:rFonts w:cs="Arial"/>
          <w:sz w:val="20"/>
        </w:rPr>
        <w:t>/12/19: necessidade = 1005 unidades.</w:t>
      </w: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>Período de 16/12/19 – 22/12/19: necessidade = 1200 unidades.</w:t>
      </w: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>Saldo atual da embalagem: 1400 unidades</w:t>
      </w: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>Quantid</w:t>
      </w:r>
      <w:r w:rsidR="006C5F15">
        <w:rPr>
          <w:rFonts w:cs="Arial"/>
          <w:sz w:val="20"/>
        </w:rPr>
        <w:t>ade a solicitar do cliente: 1005</w:t>
      </w:r>
      <w:r>
        <w:rPr>
          <w:rFonts w:cs="Arial"/>
          <w:sz w:val="20"/>
        </w:rPr>
        <w:t xml:space="preserve"> – (1400 – 1200) = 805 unidades.</w:t>
      </w: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>O cliente envia as embalagens em fardos com 10 unidades em cada fardo. Nesse caso, a Ethos deverá solicitar o envio de 805 / 10 = 81 fardos, ou sejam, 810 unidades.</w:t>
      </w: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>Outro caso complicado ocorre quando a embalagem é enviada a Ethos sobre pallets. Nesse caso, se a Ethos solicitar 50 laterais (10 fardos) e cada fardo for enviado sobre 1 pallet, a Ethos, na verdade, estará recebendo 50 laterais e 10 pallets. Ao dar entrada no sup3760, a Ethos irá alimentar o estoque apenas daquilo que consta na nota (50 laterais). Então, os 10 pallets precisam entrar no estoque de alguma forma (SUP0710, por exemplo).</w:t>
      </w: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Atualmente, o cadastro das embalagens no man10021 está como item que não controla estoque. </w:t>
      </w:r>
      <w:r w:rsidR="0092470C">
        <w:rPr>
          <w:rFonts w:cs="Arial"/>
          <w:sz w:val="20"/>
        </w:rPr>
        <w:t>Para</w:t>
      </w:r>
      <w:r>
        <w:rPr>
          <w:rFonts w:cs="Arial"/>
          <w:sz w:val="20"/>
        </w:rPr>
        <w:t xml:space="preserve"> esse projeto funcionar adequadamente, é necessário alterar o cadastro das embalagens para item que controla estoque. Isto feito, será necessário fazer um inventário dos itens embalagem para que o saldo dos mesmos sejam atualizados no Logix.</w:t>
      </w:r>
    </w:p>
    <w:p w:rsidR="00A6182F" w:rsidRDefault="00A6182F" w:rsidP="00A6182F">
      <w:pPr>
        <w:autoSpaceDE w:val="0"/>
        <w:autoSpaceDN w:val="0"/>
        <w:adjustRightInd w:val="0"/>
        <w:ind w:firstLine="708"/>
        <w:jc w:val="both"/>
        <w:rPr>
          <w:rFonts w:cs="Arial"/>
          <w:sz w:val="20"/>
        </w:rPr>
      </w:pP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  <w:r>
        <w:rPr>
          <w:rFonts w:cs="Arial"/>
          <w:noProof/>
          <w:sz w:val="20"/>
          <w:lang w:eastAsia="pt-BR"/>
        </w:rPr>
        <w:tab/>
        <w:t xml:space="preserve">Uma embalagem final pode ser formada por apenas uma peça (um pallet por exemplo) ou varias peças (uma caixa por exemplo). Nesse último caso, a caixa pode ser montada a partir de um fundo, uma tampa e várias laterais, ou sejam laterais esquerda (oeste) e direita (leste), além das laterais norte e sul. </w:t>
      </w: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  <w:r>
        <w:rPr>
          <w:rFonts w:cs="Arial"/>
          <w:noProof/>
          <w:sz w:val="20"/>
          <w:lang w:eastAsia="pt-BR"/>
        </w:rPr>
        <w:t xml:space="preserve">Uma embalagem padrão, seguindo determinações do próprio cliente, deve ser formada por uma peça de cada tipo ( 1 fundo, uma tampa, e uma lateral de cada lado, por exemplo). Porém, na hora de montar a embalagem para embalar o produto,  nada impede a Ethos de utilizar mais peças, afim de gerar uma embalagem com uma capacidade maior. </w:t>
      </w:r>
      <w:r w:rsidRPr="0046615A">
        <w:rPr>
          <w:rFonts w:cs="Arial"/>
          <w:b/>
          <w:noProof/>
          <w:sz w:val="20"/>
          <w:lang w:eastAsia="pt-BR"/>
        </w:rPr>
        <w:t>Assim, devemos criar um programa para cadastrar a estrutura da embalagem final</w:t>
      </w:r>
      <w:r>
        <w:rPr>
          <w:rFonts w:cs="Arial"/>
          <w:b/>
          <w:noProof/>
          <w:sz w:val="20"/>
          <w:lang w:eastAsia="pt-BR"/>
        </w:rPr>
        <w:t xml:space="preserve"> (embalagem padrão do produto)</w:t>
      </w:r>
      <w:r>
        <w:rPr>
          <w:rFonts w:cs="Arial"/>
          <w:noProof/>
          <w:sz w:val="20"/>
          <w:lang w:eastAsia="pt-BR"/>
        </w:rPr>
        <w:t>.</w:t>
      </w: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A6182F" w:rsidRDefault="0092470C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  <w:r>
        <w:rPr>
          <w:rFonts w:cs="Arial"/>
          <w:noProof/>
          <w:sz w:val="20"/>
          <w:lang w:eastAsia="pt-BR"/>
        </w:rPr>
        <w:t>É multíssimo importante</w:t>
      </w:r>
      <w:r w:rsidR="00A6182F">
        <w:rPr>
          <w:rFonts w:cs="Arial"/>
          <w:noProof/>
          <w:sz w:val="20"/>
          <w:lang w:eastAsia="pt-BR"/>
        </w:rPr>
        <w:t xml:space="preserve"> que na</w:t>
      </w:r>
      <w:r w:rsidR="006C5F15">
        <w:rPr>
          <w:rFonts w:cs="Arial"/>
          <w:noProof/>
          <w:sz w:val="20"/>
          <w:lang w:eastAsia="pt-BR"/>
        </w:rPr>
        <w:t xml:space="preserve"> hora da</w:t>
      </w:r>
      <w:r w:rsidR="00A6182F">
        <w:rPr>
          <w:rFonts w:cs="Arial"/>
          <w:noProof/>
          <w:sz w:val="20"/>
          <w:lang w:eastAsia="pt-BR"/>
        </w:rPr>
        <w:t xml:space="preserve"> montagem da embalagem, deve-se respeitar o que está cadastrado na estrutura, pois, para detectar a quantidade de embalagens necessária durante um certo período, será levado em conta a demanda do periodo multiplicado pela quantidade de peças previstas na estrutura da embalagem.</w:t>
      </w: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  <w:r w:rsidRPr="00652FB0">
        <w:rPr>
          <w:rFonts w:cs="Arial"/>
          <w:b/>
          <w:noProof/>
          <w:sz w:val="20"/>
          <w:lang w:eastAsia="pt-BR"/>
        </w:rPr>
        <w:lastRenderedPageBreak/>
        <w:t>Programa 01 – cadatro da</w:t>
      </w:r>
      <w:r>
        <w:rPr>
          <w:rFonts w:cs="Arial"/>
          <w:b/>
          <w:noProof/>
          <w:sz w:val="20"/>
          <w:lang w:eastAsia="pt-BR"/>
        </w:rPr>
        <w:t xml:space="preserve"> estrutura da</w:t>
      </w:r>
      <w:r w:rsidRPr="00652FB0">
        <w:rPr>
          <w:rFonts w:cs="Arial"/>
          <w:b/>
          <w:noProof/>
          <w:sz w:val="20"/>
          <w:lang w:eastAsia="pt-BR"/>
        </w:rPr>
        <w:t xml:space="preserve"> embalagem</w:t>
      </w:r>
      <w:r>
        <w:rPr>
          <w:rFonts w:cs="Arial"/>
          <w:noProof/>
          <w:sz w:val="20"/>
          <w:lang w:eastAsia="pt-BR"/>
        </w:rPr>
        <w:t>.</w:t>
      </w: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  <w:r>
        <w:rPr>
          <w:rFonts w:cs="Arial"/>
          <w:noProof/>
          <w:sz w:val="20"/>
          <w:lang w:eastAsia="pt-BR"/>
        </w:rPr>
        <w:drawing>
          <wp:inline distT="0" distB="0" distL="0" distR="0" wp14:anchorId="70025FB1" wp14:editId="261DFD11">
            <wp:extent cx="5973288" cy="3095971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73" cy="309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  <w:r>
        <w:rPr>
          <w:rFonts w:cs="Arial"/>
          <w:noProof/>
          <w:sz w:val="20"/>
          <w:lang w:eastAsia="pt-BR"/>
        </w:rPr>
        <w:t>Cód cliente: deve existir no Logix.</w:t>
      </w: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  <w:r>
        <w:rPr>
          <w:rFonts w:cs="Arial"/>
          <w:noProof/>
          <w:sz w:val="20"/>
          <w:lang w:eastAsia="pt-BR"/>
        </w:rPr>
        <w:t xml:space="preserve">Cód embalagem: não estárá cadastrado no Logix </w:t>
      </w:r>
      <w:r w:rsidR="008A7FA7">
        <w:rPr>
          <w:rFonts w:cs="Arial"/>
          <w:noProof/>
          <w:sz w:val="20"/>
          <w:lang w:eastAsia="pt-BR"/>
        </w:rPr>
        <w:t>e nem precisa</w:t>
      </w: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  <w:r>
        <w:rPr>
          <w:rFonts w:cs="Arial"/>
          <w:noProof/>
          <w:sz w:val="20"/>
          <w:lang w:eastAsia="pt-BR"/>
        </w:rPr>
        <w:t>Cód item embal: deve existir no Logix.</w:t>
      </w:r>
    </w:p>
    <w:p w:rsidR="00A6182F" w:rsidRDefault="00A6182F" w:rsidP="00A6182F">
      <w:pPr>
        <w:autoSpaceDE w:val="0"/>
        <w:autoSpaceDN w:val="0"/>
        <w:adjustRightInd w:val="0"/>
        <w:jc w:val="both"/>
        <w:rPr>
          <w:rFonts w:cs="Arial"/>
          <w:noProof/>
          <w:sz w:val="20"/>
          <w:lang w:eastAsia="pt-BR"/>
        </w:rPr>
      </w:pP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TTECt00"/>
          <w:sz w:val="20"/>
          <w:szCs w:val="20"/>
        </w:rPr>
      </w:pPr>
      <w:r>
        <w:rPr>
          <w:rFonts w:cs="Arial"/>
          <w:noProof/>
          <w:sz w:val="20"/>
          <w:lang w:eastAsia="pt-BR"/>
        </w:rPr>
        <w:t>Todos</w:t>
      </w:r>
      <w:r w:rsidRPr="000F7680">
        <w:rPr>
          <w:rFonts w:cs="Arial"/>
          <w:noProof/>
          <w:sz w:val="20"/>
          <w:lang w:eastAsia="pt-BR"/>
        </w:rPr>
        <w:t xml:space="preserve"> </w:t>
      </w:r>
      <w:r>
        <w:rPr>
          <w:rFonts w:cs="TTECt00"/>
          <w:sz w:val="20"/>
          <w:szCs w:val="20"/>
        </w:rPr>
        <w:t xml:space="preserve">os </w:t>
      </w:r>
      <w:proofErr w:type="spellStart"/>
      <w:r>
        <w:rPr>
          <w:rFonts w:cs="TTECt00"/>
          <w:sz w:val="20"/>
          <w:szCs w:val="20"/>
        </w:rPr>
        <w:t>cód</w:t>
      </w:r>
      <w:proofErr w:type="spellEnd"/>
      <w:r>
        <w:rPr>
          <w:rFonts w:cs="TTECt00"/>
          <w:sz w:val="20"/>
          <w:szCs w:val="20"/>
        </w:rPr>
        <w:t xml:space="preserve"> item </w:t>
      </w:r>
      <w:proofErr w:type="spellStart"/>
      <w:r>
        <w:rPr>
          <w:rFonts w:cs="TTECt00"/>
          <w:sz w:val="20"/>
          <w:szCs w:val="20"/>
        </w:rPr>
        <w:t>embal</w:t>
      </w:r>
      <w:proofErr w:type="spellEnd"/>
      <w:r w:rsidRPr="000F7680">
        <w:rPr>
          <w:rFonts w:cs="TTECt00"/>
          <w:sz w:val="20"/>
          <w:szCs w:val="20"/>
        </w:rPr>
        <w:t xml:space="preserve"> </w:t>
      </w:r>
      <w:r>
        <w:rPr>
          <w:rFonts w:cs="TTECt00"/>
          <w:sz w:val="20"/>
          <w:szCs w:val="20"/>
        </w:rPr>
        <w:t>informados nessa tela</w:t>
      </w:r>
      <w:r w:rsidRPr="000F7680">
        <w:rPr>
          <w:rFonts w:cs="TTECt00"/>
          <w:sz w:val="20"/>
          <w:szCs w:val="20"/>
        </w:rPr>
        <w:t xml:space="preserve"> deverão estar cadastradas no MAN9922</w:t>
      </w:r>
      <w:r>
        <w:rPr>
          <w:rFonts w:cs="TTECt00"/>
          <w:sz w:val="20"/>
          <w:szCs w:val="20"/>
        </w:rPr>
        <w:t>(10021)</w:t>
      </w:r>
      <w:r w:rsidRPr="000F7680">
        <w:rPr>
          <w:rFonts w:cs="TTECt00"/>
          <w:sz w:val="20"/>
          <w:szCs w:val="20"/>
        </w:rPr>
        <w:t xml:space="preserve"> na pasta Básico como tipo</w:t>
      </w:r>
      <w:r>
        <w:rPr>
          <w:rFonts w:cs="TTECt00"/>
          <w:sz w:val="20"/>
          <w:szCs w:val="20"/>
        </w:rPr>
        <w:t xml:space="preserve"> </w:t>
      </w:r>
      <w:r w:rsidRPr="000F7680">
        <w:rPr>
          <w:rFonts w:cs="TTECt00"/>
          <w:b/>
          <w:sz w:val="20"/>
          <w:szCs w:val="20"/>
        </w:rPr>
        <w:t>C</w:t>
      </w:r>
      <w:r>
        <w:rPr>
          <w:rFonts w:cs="TTECt00"/>
          <w:sz w:val="20"/>
          <w:szCs w:val="20"/>
        </w:rPr>
        <w:t xml:space="preserve"> </w:t>
      </w:r>
      <w:r w:rsidRPr="000F7680">
        <w:rPr>
          <w:rFonts w:cs="TTECt00"/>
          <w:sz w:val="20"/>
          <w:szCs w:val="20"/>
        </w:rPr>
        <w:t>(item comprado</w:t>
      </w:r>
      <w:r>
        <w:rPr>
          <w:rFonts w:cs="TTECt00"/>
          <w:sz w:val="20"/>
          <w:szCs w:val="20"/>
        </w:rPr>
        <w:t xml:space="preserve">) e com o campo </w:t>
      </w:r>
      <w:r>
        <w:rPr>
          <w:rFonts w:cs="TTECt00"/>
          <w:b/>
          <w:sz w:val="20"/>
          <w:szCs w:val="20"/>
        </w:rPr>
        <w:t>Peso unitário</w:t>
      </w:r>
      <w:r w:rsidRPr="000F7680">
        <w:rPr>
          <w:rFonts w:cs="TTECt00"/>
          <w:sz w:val="20"/>
          <w:szCs w:val="20"/>
        </w:rPr>
        <w:t xml:space="preserve"> diferente de zero</w:t>
      </w:r>
      <w:r>
        <w:rPr>
          <w:rFonts w:cs="TTECt00"/>
          <w:sz w:val="20"/>
          <w:szCs w:val="20"/>
        </w:rPr>
        <w:t xml:space="preserve">, </w:t>
      </w:r>
      <w:r w:rsidRPr="000F7680">
        <w:rPr>
          <w:rFonts w:cs="TTECt00"/>
          <w:sz w:val="20"/>
          <w:szCs w:val="20"/>
        </w:rPr>
        <w:t>o</w:t>
      </w:r>
      <w:r>
        <w:rPr>
          <w:rFonts w:cs="TTECt00"/>
          <w:sz w:val="20"/>
          <w:szCs w:val="20"/>
        </w:rPr>
        <w:t>u seja, com o devido peso da embalagem</w:t>
      </w:r>
      <w:r w:rsidRPr="000F7680">
        <w:rPr>
          <w:rFonts w:cs="TTECt00"/>
          <w:sz w:val="20"/>
          <w:szCs w:val="20"/>
        </w:rPr>
        <w:t>.</w:t>
      </w:r>
      <w:r>
        <w:rPr>
          <w:rFonts w:cs="TTECt00"/>
          <w:sz w:val="20"/>
          <w:szCs w:val="20"/>
        </w:rPr>
        <w:t xml:space="preserve"> </w:t>
      </w:r>
      <w:r w:rsidRPr="000F7680">
        <w:rPr>
          <w:rFonts w:cs="TTECt00"/>
          <w:sz w:val="20"/>
          <w:szCs w:val="20"/>
        </w:rPr>
        <w:t xml:space="preserve">Na pasta </w:t>
      </w:r>
      <w:r w:rsidRPr="000F7680">
        <w:rPr>
          <w:rFonts w:cs="TTECt00"/>
          <w:b/>
          <w:sz w:val="20"/>
          <w:szCs w:val="20"/>
        </w:rPr>
        <w:t>Comercial 3</w:t>
      </w:r>
      <w:r w:rsidRPr="000F7680">
        <w:rPr>
          <w:rFonts w:cs="TTECt00"/>
          <w:sz w:val="20"/>
          <w:szCs w:val="20"/>
        </w:rPr>
        <w:t xml:space="preserve"> estar vinculado </w:t>
      </w:r>
      <w:r>
        <w:rPr>
          <w:rFonts w:cs="TTECt00"/>
          <w:sz w:val="20"/>
          <w:szCs w:val="20"/>
        </w:rPr>
        <w:t xml:space="preserve">a </w:t>
      </w:r>
      <w:r w:rsidRPr="000F7680">
        <w:rPr>
          <w:rFonts w:cs="TTECt00"/>
          <w:sz w:val="20"/>
          <w:szCs w:val="20"/>
        </w:rPr>
        <w:t>um</w:t>
      </w:r>
      <w:r>
        <w:rPr>
          <w:rFonts w:cs="TTECt00"/>
          <w:sz w:val="20"/>
          <w:szCs w:val="20"/>
        </w:rPr>
        <w:t xml:space="preserve"> </w:t>
      </w:r>
      <w:r w:rsidRPr="000F7680">
        <w:rPr>
          <w:rFonts w:cs="TTECt00"/>
          <w:sz w:val="20"/>
          <w:szCs w:val="20"/>
        </w:rPr>
        <w:t>cliente onde deverá ser informado o código/descrição da embalagem do cliente. Se estas</w:t>
      </w:r>
      <w:r>
        <w:rPr>
          <w:rFonts w:cs="TTECt00"/>
          <w:sz w:val="20"/>
          <w:szCs w:val="20"/>
        </w:rPr>
        <w:t xml:space="preserve"> </w:t>
      </w:r>
      <w:r w:rsidRPr="000F7680">
        <w:rPr>
          <w:rFonts w:cs="TTECt00"/>
          <w:sz w:val="20"/>
          <w:szCs w:val="20"/>
        </w:rPr>
        <w:t>informações aqui citadas não forem cadastradas o item</w:t>
      </w:r>
      <w:r>
        <w:rPr>
          <w:rFonts w:cs="TTECt00"/>
          <w:sz w:val="20"/>
          <w:szCs w:val="20"/>
        </w:rPr>
        <w:t xml:space="preserve"> não será aceito na estrutura da embalagem final</w:t>
      </w:r>
      <w:r w:rsidRPr="000F7680">
        <w:rPr>
          <w:rFonts w:cs="TTECt00"/>
          <w:sz w:val="20"/>
          <w:szCs w:val="20"/>
        </w:rPr>
        <w:t>.</w:t>
      </w: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TTECt00"/>
          <w:sz w:val="20"/>
          <w:szCs w:val="20"/>
        </w:rPr>
      </w:pPr>
    </w:p>
    <w:p w:rsidR="0092470C" w:rsidRDefault="0092470C" w:rsidP="00A6182F">
      <w:pPr>
        <w:autoSpaceDE w:val="0"/>
        <w:autoSpaceDN w:val="0"/>
        <w:adjustRightInd w:val="0"/>
        <w:ind w:firstLine="360"/>
        <w:jc w:val="both"/>
        <w:rPr>
          <w:rFonts w:cs="TTECt00"/>
          <w:sz w:val="20"/>
          <w:szCs w:val="20"/>
        </w:rPr>
      </w:pPr>
      <w:proofErr w:type="spellStart"/>
      <w:r>
        <w:rPr>
          <w:rFonts w:cs="TTECt00"/>
          <w:sz w:val="20"/>
          <w:szCs w:val="20"/>
        </w:rPr>
        <w:t>Obs</w:t>
      </w:r>
      <w:proofErr w:type="spellEnd"/>
      <w:r>
        <w:rPr>
          <w:rFonts w:cs="TTECt00"/>
          <w:sz w:val="20"/>
          <w:szCs w:val="20"/>
        </w:rPr>
        <w:t>: quando a Ethos receber do cliente uma nota de envio de embalagens, essa nota deve ser lançada no sup3760 com tipo T, para que o Logix entenda que se trata de um material de terceiros.</w:t>
      </w:r>
    </w:p>
    <w:p w:rsidR="0092470C" w:rsidRDefault="0092470C" w:rsidP="00A6182F">
      <w:pPr>
        <w:autoSpaceDE w:val="0"/>
        <w:autoSpaceDN w:val="0"/>
        <w:adjustRightInd w:val="0"/>
        <w:ind w:firstLine="360"/>
        <w:jc w:val="both"/>
        <w:rPr>
          <w:rFonts w:cs="TTECt00"/>
          <w:sz w:val="20"/>
          <w:szCs w:val="20"/>
        </w:rPr>
      </w:pP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  <w:r>
        <w:rPr>
          <w:rFonts w:cs="Arial"/>
          <w:b/>
          <w:noProof/>
          <w:sz w:val="20"/>
          <w:lang w:eastAsia="pt-BR"/>
        </w:rPr>
        <w:t>Programa 02</w:t>
      </w:r>
      <w:r w:rsidRPr="00652FB0">
        <w:rPr>
          <w:rFonts w:cs="Arial"/>
          <w:b/>
          <w:noProof/>
          <w:sz w:val="20"/>
          <w:lang w:eastAsia="pt-BR"/>
        </w:rPr>
        <w:t xml:space="preserve"> – cadatro </w:t>
      </w:r>
      <w:r>
        <w:rPr>
          <w:rFonts w:cs="Arial"/>
          <w:b/>
          <w:noProof/>
          <w:sz w:val="20"/>
          <w:lang w:eastAsia="pt-BR"/>
        </w:rPr>
        <w:t>da embalagem padrão do produto (</w:t>
      </w:r>
      <w:r>
        <w:rPr>
          <w:rFonts w:ascii="TTDEt00" w:hAnsi="TTDEt00" w:cs="TTDEt00"/>
          <w:sz w:val="20"/>
          <w:szCs w:val="20"/>
        </w:rPr>
        <w:t>ETHOSI0033)</w:t>
      </w: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TTECt00"/>
          <w:sz w:val="20"/>
          <w:szCs w:val="20"/>
        </w:rPr>
      </w:pPr>
    </w:p>
    <w:p w:rsidR="00A6182F" w:rsidRPr="00E048F2" w:rsidRDefault="00A6182F" w:rsidP="00A6182F">
      <w:pPr>
        <w:autoSpaceDE w:val="0"/>
        <w:autoSpaceDN w:val="0"/>
        <w:adjustRightInd w:val="0"/>
        <w:ind w:firstLine="360"/>
        <w:jc w:val="both"/>
        <w:rPr>
          <w:rFonts w:cs="TTECt00"/>
          <w:sz w:val="20"/>
          <w:szCs w:val="20"/>
        </w:rPr>
      </w:pPr>
      <w:r>
        <w:rPr>
          <w:rFonts w:cs="TTECt00"/>
          <w:noProof/>
          <w:sz w:val="20"/>
          <w:szCs w:val="20"/>
          <w:lang w:eastAsia="pt-BR"/>
        </w:rPr>
        <w:drawing>
          <wp:inline distT="0" distB="0" distL="0" distR="0" wp14:anchorId="6E628DDC" wp14:editId="55E9231D">
            <wp:extent cx="6239510" cy="33013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286" cy="330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2F" w:rsidRDefault="00A6182F" w:rsidP="00A6182F">
      <w:pPr>
        <w:autoSpaceDE w:val="0"/>
        <w:autoSpaceDN w:val="0"/>
        <w:adjustRightInd w:val="0"/>
        <w:ind w:left="360"/>
        <w:rPr>
          <w:rFonts w:cs="Arial"/>
          <w:b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left="360"/>
        <w:rPr>
          <w:rFonts w:cs="Arial"/>
          <w:b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left="360"/>
        <w:rPr>
          <w:rFonts w:cs="Arial"/>
          <w:b/>
          <w:noProof/>
          <w:sz w:val="20"/>
          <w:lang w:eastAsia="pt-BR"/>
        </w:rPr>
      </w:pPr>
    </w:p>
    <w:p w:rsidR="00145B91" w:rsidRDefault="00145B91" w:rsidP="00A6182F">
      <w:pPr>
        <w:autoSpaceDE w:val="0"/>
        <w:autoSpaceDN w:val="0"/>
        <w:adjustRightInd w:val="0"/>
        <w:ind w:left="360"/>
        <w:rPr>
          <w:rFonts w:cs="Arial"/>
          <w:b/>
          <w:noProof/>
          <w:sz w:val="20"/>
          <w:lang w:eastAsia="pt-BR"/>
        </w:rPr>
      </w:pPr>
    </w:p>
    <w:p w:rsidR="00A6182F" w:rsidRDefault="00A6182F" w:rsidP="00A6182F">
      <w:pPr>
        <w:autoSpaceDE w:val="0"/>
        <w:autoSpaceDN w:val="0"/>
        <w:adjustRightInd w:val="0"/>
        <w:ind w:firstLine="360"/>
        <w:jc w:val="both"/>
        <w:rPr>
          <w:rFonts w:cs="Arial"/>
          <w:noProof/>
          <w:sz w:val="20"/>
          <w:lang w:eastAsia="pt-BR"/>
        </w:rPr>
      </w:pPr>
      <w:r>
        <w:rPr>
          <w:rFonts w:cs="Arial"/>
          <w:b/>
          <w:noProof/>
          <w:sz w:val="20"/>
          <w:lang w:eastAsia="pt-BR"/>
        </w:rPr>
        <w:lastRenderedPageBreak/>
        <w:t>Programa 03</w:t>
      </w:r>
      <w:r w:rsidRPr="00652FB0">
        <w:rPr>
          <w:rFonts w:cs="Arial"/>
          <w:b/>
          <w:noProof/>
          <w:sz w:val="20"/>
          <w:lang w:eastAsia="pt-BR"/>
        </w:rPr>
        <w:t xml:space="preserve"> – </w:t>
      </w:r>
      <w:r>
        <w:rPr>
          <w:rFonts w:cs="Arial"/>
          <w:b/>
          <w:noProof/>
          <w:sz w:val="20"/>
          <w:lang w:eastAsia="pt-BR"/>
        </w:rPr>
        <w:t>APURAÇÃO DAS embalagens necessárias (</w:t>
      </w:r>
      <w:r>
        <w:rPr>
          <w:rFonts w:ascii="TTDEt00" w:hAnsi="TTDEt00" w:cs="TTDEt00"/>
          <w:sz w:val="20"/>
          <w:szCs w:val="20"/>
        </w:rPr>
        <w:t>ETHOIS0025)</w:t>
      </w:r>
    </w:p>
    <w:p w:rsidR="00A6182F" w:rsidRDefault="00A6182F" w:rsidP="00A6182F">
      <w:pPr>
        <w:autoSpaceDE w:val="0"/>
        <w:autoSpaceDN w:val="0"/>
        <w:adjustRightInd w:val="0"/>
        <w:ind w:firstLine="360"/>
        <w:rPr>
          <w:rFonts w:ascii="TTDEt00" w:hAnsi="TTDEt00" w:cs="TTDEt00"/>
          <w:sz w:val="20"/>
          <w:szCs w:val="20"/>
        </w:rPr>
      </w:pPr>
    </w:p>
    <w:p w:rsidR="00A6182F" w:rsidRDefault="00A6182F" w:rsidP="00A6182F">
      <w:pPr>
        <w:autoSpaceDE w:val="0"/>
        <w:autoSpaceDN w:val="0"/>
        <w:adjustRightInd w:val="0"/>
        <w:ind w:firstLine="360"/>
        <w:rPr>
          <w:rFonts w:ascii="TTDEt00" w:hAnsi="TTDEt00" w:cs="TTDEt00"/>
          <w:sz w:val="20"/>
          <w:szCs w:val="20"/>
        </w:rPr>
      </w:pPr>
      <w:r>
        <w:rPr>
          <w:rFonts w:ascii="TTDEt00" w:hAnsi="TTDEt00" w:cs="TTDEt00"/>
          <w:sz w:val="20"/>
          <w:szCs w:val="20"/>
        </w:rPr>
        <w:t>A partir de parâmetros informados na tela, como cliente, produto e período de apuração, o programa deverá ler a carteira de pedidos, calcula a quantidade de embalagens necessárias para cada item embalagem e exibir os dados de duas formas diferentes: visualização analítica e sintética. Se o usuário quiser imprimir os dados, o mesmo deverá clicar com o direito do mouse e escolher a opção Exportar para o Excel.</w:t>
      </w:r>
    </w:p>
    <w:p w:rsidR="00A6182F" w:rsidRDefault="00A6182F" w:rsidP="00A6182F">
      <w:pPr>
        <w:autoSpaceDE w:val="0"/>
        <w:autoSpaceDN w:val="0"/>
        <w:adjustRightInd w:val="0"/>
        <w:ind w:firstLine="360"/>
        <w:rPr>
          <w:rFonts w:ascii="TTDEt00" w:hAnsi="TTDEt00" w:cs="TTDEt00"/>
          <w:sz w:val="20"/>
          <w:szCs w:val="20"/>
        </w:rPr>
      </w:pPr>
    </w:p>
    <w:p w:rsidR="00A6182F" w:rsidRDefault="00A6182F" w:rsidP="00A6182F">
      <w:pPr>
        <w:autoSpaceDE w:val="0"/>
        <w:autoSpaceDN w:val="0"/>
        <w:adjustRightInd w:val="0"/>
        <w:ind w:firstLine="360"/>
        <w:rPr>
          <w:rFonts w:ascii="TTDEt00" w:hAnsi="TTDEt00" w:cs="TTDEt00"/>
          <w:sz w:val="20"/>
          <w:szCs w:val="20"/>
        </w:rPr>
      </w:pPr>
      <w:r>
        <w:rPr>
          <w:rFonts w:ascii="TTDEt00" w:hAnsi="TTDEt00" w:cs="TTDEt00"/>
          <w:noProof/>
          <w:sz w:val="20"/>
          <w:szCs w:val="20"/>
          <w:lang w:eastAsia="pt-BR"/>
        </w:rPr>
        <w:drawing>
          <wp:inline distT="0" distB="0" distL="0" distR="0" wp14:anchorId="450B5305" wp14:editId="5E7CBD0F">
            <wp:extent cx="6638290" cy="14782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2F" w:rsidRDefault="00A6182F" w:rsidP="00A6182F">
      <w:pPr>
        <w:autoSpaceDE w:val="0"/>
        <w:autoSpaceDN w:val="0"/>
        <w:adjustRightInd w:val="0"/>
        <w:ind w:firstLine="360"/>
        <w:rPr>
          <w:rFonts w:ascii="TTDEt00" w:hAnsi="TTDEt00" w:cs="TTDEt00"/>
          <w:sz w:val="20"/>
          <w:szCs w:val="20"/>
        </w:rPr>
      </w:pPr>
    </w:p>
    <w:p w:rsidR="00A6182F" w:rsidRDefault="00A6182F" w:rsidP="00A6182F">
      <w:pPr>
        <w:autoSpaceDE w:val="0"/>
        <w:autoSpaceDN w:val="0"/>
        <w:adjustRightInd w:val="0"/>
        <w:ind w:firstLine="360"/>
        <w:rPr>
          <w:rFonts w:ascii="TTDEt00" w:hAnsi="TTDEt00" w:cs="TTDEt00"/>
          <w:sz w:val="20"/>
          <w:szCs w:val="20"/>
        </w:rPr>
      </w:pPr>
      <w:r>
        <w:rPr>
          <w:rFonts w:ascii="TTDEt00" w:hAnsi="TTDEt00" w:cs="TTDEt00"/>
          <w:noProof/>
          <w:sz w:val="20"/>
          <w:szCs w:val="20"/>
          <w:lang w:eastAsia="pt-BR"/>
        </w:rPr>
        <w:drawing>
          <wp:inline distT="0" distB="0" distL="0" distR="0" wp14:anchorId="3149353A" wp14:editId="608BAE16">
            <wp:extent cx="6638290" cy="25234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2F" w:rsidRDefault="00A6182F" w:rsidP="00A6182F">
      <w:pPr>
        <w:autoSpaceDE w:val="0"/>
        <w:autoSpaceDN w:val="0"/>
        <w:adjustRightInd w:val="0"/>
        <w:ind w:firstLine="360"/>
        <w:rPr>
          <w:rFonts w:ascii="TTDEt00" w:hAnsi="TTDEt00" w:cs="TTDEt00"/>
          <w:sz w:val="20"/>
          <w:szCs w:val="20"/>
        </w:rPr>
      </w:pPr>
    </w:p>
    <w:p w:rsidR="00A6182F" w:rsidRDefault="00A6182F" w:rsidP="00A6182F">
      <w:pPr>
        <w:autoSpaceDE w:val="0"/>
        <w:autoSpaceDN w:val="0"/>
        <w:adjustRightInd w:val="0"/>
        <w:ind w:left="360"/>
        <w:rPr>
          <w:rFonts w:cs="Arial"/>
          <w:b/>
          <w:noProof/>
          <w:sz w:val="20"/>
          <w:lang w:eastAsia="pt-BR"/>
        </w:rPr>
      </w:pPr>
    </w:p>
    <w:p w:rsidR="00FF6681" w:rsidRDefault="00A6182F" w:rsidP="00A6182F">
      <w:r>
        <w:rPr>
          <w:rFonts w:cs="Arial"/>
          <w:noProof/>
          <w:sz w:val="20"/>
          <w:lang w:eastAsia="pt-BR"/>
        </w:rPr>
        <w:drawing>
          <wp:inline distT="0" distB="0" distL="0" distR="0" wp14:anchorId="2D11B210" wp14:editId="1AE8D2F3">
            <wp:extent cx="4904740" cy="211391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57" w:rsidRDefault="00176157" w:rsidP="00A6182F"/>
    <w:p w:rsidR="00176157" w:rsidRDefault="00176157">
      <w:r>
        <w:br w:type="page"/>
      </w:r>
      <w:bookmarkStart w:id="0" w:name="_GoBack"/>
      <w:bookmarkEnd w:id="0"/>
    </w:p>
    <w:sectPr w:rsidR="00176157" w:rsidSect="00145B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868E9"/>
    <w:multiLevelType w:val="hybridMultilevel"/>
    <w:tmpl w:val="470616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2F"/>
    <w:rsid w:val="00145B91"/>
    <w:rsid w:val="00176157"/>
    <w:rsid w:val="006C5F15"/>
    <w:rsid w:val="008A7FA7"/>
    <w:rsid w:val="0092470C"/>
    <w:rsid w:val="00A6182F"/>
    <w:rsid w:val="00E50623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82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18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182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176157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82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18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182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1761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771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7</cp:revision>
  <dcterms:created xsi:type="dcterms:W3CDTF">2019-12-26T17:09:00Z</dcterms:created>
  <dcterms:modified xsi:type="dcterms:W3CDTF">2020-04-23T13:06:00Z</dcterms:modified>
</cp:coreProperties>
</file>