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TinyURLCreator POC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inputs will be provided at the command line level.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actions available are listed below: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create: create tinyurl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delete: delete tinyurl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getLong: get long url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getStats: get TinyURL statistics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visit: visit tinyUrl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help: list actions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exit: exit the program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*actions are not case sensitive at the command line*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Create Request: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ensure that URLs provided are of acceptable format.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example above, we use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  <w:t xml:space="preserve">” as the URL to shorten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“https://” is required for valid URL formatting.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666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example above, we use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” and get the invalid format error.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Visit 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console application is simply a POC, so real URL redirection is NOT configured, in order to visit the URL in this scenario we use the “visit” action.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Please see the sample visit request below: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781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can see that the visit count is updated by using the “getstats” action.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666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General Code Overview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TinyURLService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service to manage tinyURLs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Storage/Mappings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tinyURLs are stored in a dictionary of type: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Dictionary&lt;string tinyURL,(string longURL, int visitedCount)&gt;</w:t>
      </w:r>
    </w:p>
    <w:p w:rsidR="00000000" w:rsidDel="00000000" w:rsidP="00000000" w:rsidRDefault="00000000" w:rsidRPr="00000000" w14:paraId="00000027">
      <w:pPr>
        <w:numPr>
          <w:ilvl w:val="5"/>
          <w:numId w:val="1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tinyURL is the key</w:t>
      </w:r>
    </w:p>
    <w:p w:rsidR="00000000" w:rsidDel="00000000" w:rsidP="00000000" w:rsidRDefault="00000000" w:rsidRPr="00000000" w14:paraId="00000028">
      <w:pPr>
        <w:numPr>
          <w:ilvl w:val="5"/>
          <w:numId w:val="1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pair of longURL and visitedCount is the value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Dictionary is stored in memory so the URL data is lost when the application stops running.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Creation/Deletion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tinyURLs are inserted into the Dictionary when created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tinyURL tokens are stored in a list upon tinyURL creation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List&lt;string&gt; tokens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list is only utilized to ensure tokens created are unique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 Tracking/Updating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Logic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Utilizes TinyURLService calls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 for the POC sit in the tinyURLTests project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Tests each method in the TinyURLService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1225" cy="194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hyperlink" Target="http://www.googl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ogle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