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40" w:lineRule="auto"/>
        <w:jc w:val="center"/>
        <w:rPr/>
      </w:pPr>
      <w:r w:rsidDel="00000000" w:rsidR="00000000" w:rsidRPr="00000000">
        <w:rPr/>
        <w:drawing>
          <wp:inline distB="0" distT="0" distL="0" distR="0">
            <wp:extent cx="2381250" cy="142875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2381250"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Rule="auto"/>
        <w:jc w:val="center"/>
        <w:rPr>
          <w:sz w:val="20"/>
          <w:szCs w:val="20"/>
        </w:rPr>
      </w:pPr>
      <w:r w:rsidDel="00000000" w:rsidR="00000000" w:rsidRPr="00000000">
        <w:rPr>
          <w:b w:val="1"/>
          <w:bCs w:val="1"/>
          <w:color w:val="132238"/>
          <w:sz w:val="56"/>
          <w:szCs w:val="56"/>
          <w:rtl w:val="0"/>
        </w:rPr>
        <w:t xml:space="preserve">OneRM</w:t>
      </w:r>
      <w:r w:rsidDel="00000000" w:rsidR="00000000" w:rsidRPr="00000000">
        <w:rPr>
          <w:rtl w:val="0"/>
        </w:rPr>
      </w:r>
    </w:p>
    <w:p w:rsidR="00000000" w:rsidDel="00000000" w:rsidP="00000000" w:rsidRDefault="00000000" w:rsidRPr="00000000" w14:paraId="00000003">
      <w:pPr>
        <w:spacing w:after="700" w:lineRule="auto"/>
        <w:jc w:val="center"/>
        <w:rPr/>
      </w:pPr>
      <w:r w:rsidDel="00000000" w:rsidR="00000000" w:rsidRPr="00000000">
        <w:rPr>
          <w:i w:val="1"/>
          <w:iCs w:val="1"/>
          <w:color w:val="595959"/>
          <w:sz w:val="28"/>
          <w:szCs w:val="28"/>
          <w:rtl w:val="0"/>
        </w:rPr>
        <w:t xml:space="preserve">Entrenador personal de bolsillo para el entrenamiento de fuerza</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sz w:val="28"/>
          <w:szCs w:val="28"/>
          <w:rtl w:val="0"/>
        </w:rPr>
        <w:t xml:space="preserve">Desarrollo de Aplicaciones I</w:t>
      </w:r>
      <w:r w:rsidDel="00000000" w:rsidR="00000000" w:rsidRPr="00000000">
        <w:rPr>
          <w:rtl w:val="0"/>
        </w:rPr>
      </w:r>
    </w:p>
    <w:p w:rsidR="00000000" w:rsidDel="00000000" w:rsidP="00000000" w:rsidRDefault="00000000" w:rsidRPr="00000000" w14:paraId="00000005">
      <w:pPr>
        <w:spacing w:after="700" w:lineRule="auto"/>
        <w:jc w:val="center"/>
        <w:rPr/>
      </w:pPr>
      <w:r w:rsidDel="00000000" w:rsidR="00000000" w:rsidRPr="00000000">
        <w:rPr>
          <w:sz w:val="28"/>
          <w:szCs w:val="28"/>
          <w:rtl w:val="0"/>
        </w:rPr>
        <w:t xml:space="preserve">Profesores Alejandro Francisco Peña, Adrián Alberto Narducci</w:t>
      </w: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color w:val="595959"/>
          <w:rtl w:val="0"/>
        </w:rPr>
        <w:t xml:space="preserve">Etapa 1: Preentrega de análisis y diseño</w:t>
      </w:r>
      <w:r w:rsidDel="00000000" w:rsidR="00000000" w:rsidRPr="00000000">
        <w:rPr>
          <w:rtl w:val="0"/>
        </w:rPr>
      </w:r>
    </w:p>
    <w:p w:rsidR="00000000" w:rsidDel="00000000" w:rsidP="00000000" w:rsidRDefault="00000000" w:rsidRPr="00000000" w14:paraId="00000007">
      <w:pPr>
        <w:spacing w:after="60" w:lineRule="auto"/>
        <w:jc w:val="center"/>
        <w:rPr/>
      </w:pPr>
      <w:r w:rsidDel="00000000" w:rsidR="00000000" w:rsidRPr="00000000">
        <w:rPr>
          <w:color w:val="595959"/>
          <w:rtl w:val="0"/>
        </w:rPr>
        <w:t xml:space="preserve">Universidad Argentina de la Empresa</w:t>
      </w:r>
      <w:r w:rsidDel="00000000" w:rsidR="00000000" w:rsidRPr="00000000">
        <w:rPr>
          <w:rtl w:val="0"/>
        </w:rPr>
      </w:r>
    </w:p>
    <w:p w:rsidR="00000000" w:rsidDel="00000000" w:rsidP="00000000" w:rsidRDefault="00000000" w:rsidRPr="00000000" w14:paraId="00000008">
      <w:pPr>
        <w:spacing w:after="900" w:lineRule="auto"/>
        <w:jc w:val="center"/>
        <w:rPr>
          <w:color w:val="595959"/>
        </w:rPr>
      </w:pPr>
      <w:r w:rsidDel="00000000" w:rsidR="00000000" w:rsidRPr="00000000">
        <w:rPr>
          <w:color w:val="595959"/>
          <w:rtl w:val="0"/>
        </w:rPr>
        <w:t xml:space="preserve">Segundo cuatrimestre 2026</w:t>
      </w:r>
    </w:p>
    <w:p w:rsidR="00000000" w:rsidDel="00000000" w:rsidP="00000000" w:rsidRDefault="00000000" w:rsidRPr="00000000" w14:paraId="00000009">
      <w:pPr>
        <w:spacing w:after="900" w:lineRule="auto"/>
        <w:rPr>
          <w:color w:val="595959"/>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2955"/>
        <w:gridCol w:w="4515"/>
        <w:tblGridChange w:id="0">
          <w:tblGrid>
            <w:gridCol w:w="1530"/>
            <w:gridCol w:w="2955"/>
            <w:gridCol w:w="45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rPr>
                <w:b w:val="1"/>
                <w:bCs w:val="1"/>
              </w:rPr>
            </w:pPr>
            <w:r w:rsidDel="00000000" w:rsidR="00000000" w:rsidRPr="00000000">
              <w:rPr>
                <w:b w:val="1"/>
                <w:bCs w:val="1"/>
                <w:rtl w:val="0"/>
              </w:rPr>
              <w:t xml:space="preserve">Legajo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rPr>
                <w:b w:val="1"/>
                <w:bCs w:val="1"/>
              </w:rPr>
            </w:pPr>
            <w:r w:rsidDel="00000000" w:rsidR="00000000" w:rsidRPr="00000000">
              <w:rPr>
                <w:b w:val="1"/>
                <w:bCs w:val="1"/>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rPr/>
            </w:pPr>
            <w:r w:rsidDel="00000000" w:rsidR="00000000" w:rsidRPr="00000000">
              <w:rPr>
                <w:sz w:val="22"/>
                <w:szCs w:val="22"/>
                <w:rtl w:val="0"/>
              </w:rPr>
              <w:t xml:space="preserve">1158050</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rPr/>
            </w:pPr>
            <w:r w:rsidDel="00000000" w:rsidR="00000000" w:rsidRPr="00000000">
              <w:rPr>
                <w:rtl w:val="0"/>
              </w:rPr>
              <w:t xml:space="preserve">Miyashiro, Ivan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rPr/>
            </w:pPr>
            <w:r w:rsidDel="00000000" w:rsidR="00000000" w:rsidRPr="00000000">
              <w:rPr>
                <w:rtl w:val="0"/>
              </w:rPr>
              <w:t xml:space="preserve">imiyashiro@uade.edu.ar</w:t>
            </w:r>
          </w:p>
        </w:tc>
      </w:tr>
    </w:tbl>
    <w:p w:rsidR="00000000" w:rsidDel="00000000" w:rsidP="00000000" w:rsidRDefault="00000000" w:rsidRPr="00000000" w14:paraId="0000001C">
      <w:pPr>
        <w:spacing w:line="276" w:lineRule="auto"/>
        <w:rPr>
          <w:rFonts w:ascii="Arial" w:cs="Arial" w:eastAsia="Arial" w:hAnsi="Arial"/>
          <w:b w:val="1"/>
          <w:bCs w:val="1"/>
          <w:sz w:val="56"/>
          <w:szCs w:val="56"/>
        </w:rPr>
        <w:sectPr>
          <w:headerReference r:id="rId8" w:type="default"/>
          <w:footerReference r:id="rId9" w:type="default"/>
          <w:pgSz w:h="16838" w:w="11906" w:orient="portrait"/>
          <w:pgMar w:bottom="1417" w:top="2268" w:left="1531" w:right="1304" w:header="708" w:footer="708"/>
          <w:pgNumType w:start="1"/>
        </w:sectPr>
      </w:pPr>
      <w:r w:rsidDel="00000000" w:rsidR="00000000" w:rsidRPr="00000000">
        <w:rPr>
          <w:rtl w:val="0"/>
        </w:rPr>
      </w:r>
    </w:p>
    <w:p>
      <w:pPr>
        <w:pStyle w:val="Heading1"/>
        <w:keepNext w:val="1"/>
        <w:spacing w:after="120" w:before="240" w:line="360" w:lineRule="auto"/>
      </w:pPr>
      <w:bookmarkStart w:id="1" w:name="_Toc00001"/>
      <w:r>
        <w:rPr>
          <w:rFonts w:ascii="Arial" w:cs="Arial" w:eastAsia="Arial" w:hAnsi="Arial"/>
          <w:b w:val="1"/>
          <w:bCs w:val="1"/>
          <w:i w:val="0"/>
          <w:iCs w:val="0"/>
          <w:sz w:val="28"/>
          <w:szCs w:val="28"/>
        </w:rPr>
        <w:t xml:space="preserve">Resumen</w:t>
      </w:r>
      <w:bookmarkEnd w:id="1"/>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OneRM es una aplicación Android para personas que entrenan fuerza en el gimnasio. Indica qué hacer en cada sesión (ejercicio, peso, series y repeticiones) a partir del historial del usuario y permite registrar cada serie con un toque, aun sin conexión. Las sugerencias surgen de reglas deterministas y explicables, como la doble progresión y el 1RM estimado.</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Este documento corresponde a la Etapa 1 del TPO y presenta el problema, el usuario y su contexto, la propuesta de solución, el alcance, los requisitos, el diseño de la experiencia, la arquitectura, la estrategia de datos y Offline First, y las tecnologías previstas.</w:t>
      </w:r>
    </w:p>
    <w:p>
      <w:r>
        <w:br w:type="page"/>
      </w:r>
    </w:p>
    <w:p>
      <w:pPr>
        <w:pStyle w:val="Heading1"/>
        <w:spacing w:after="120" w:before="240" w:line="360" w:lineRule="auto"/>
      </w:pPr>
      <w:r>
        <w:rPr>
          <w:rFonts w:ascii="Arial" w:cs="Arial" w:eastAsia="Arial" w:hAnsi="Arial"/>
          <w:b w:val="1"/>
          <w:bCs w:val="1"/>
          <w:i w:val="0"/>
          <w:iCs w:val="0"/>
          <w:sz w:val="28"/>
          <w:szCs w:val="28"/>
        </w:rPr>
        <w:t xml:space="preserve">Contenidos</w:t>
      </w:r>
    </w:p>
    <w:p>
      <w:pPr>
        <w:widowControl w:val="0"/>
        <w:spacing w:before="60" w:after="0" w:lineRule="auto"/>
      </w:pPr>
      <w:r>
        <w:fldChar w:fldCharType="begin"/>
      </w:r>
      <w:r>
        <w:instrText xml:space="preserve"> TOC \o "1-2" \h \z \u </w:instrText>
      </w:r>
      <w:r>
        <w:fldChar w:fldCharType="separate"/>
      </w:r>
      <w:hyperlink w:anchor="_Toc00002">
        <w:r>
          <w:rPr>
            <w:rFonts w:ascii="Arial" w:cs="Arial" w:eastAsia="Arial" w:hAnsi="Arial"/>
            <w:b w:val="1"/>
            <w:bCs w:val="1"/>
            <w:i w:val="0"/>
            <w:iCs w:val="0"/>
            <w:color w:val="000000"/>
            <w:u w:val="none"/>
            <w:sz w:val="22"/>
            <w:szCs w:val="22"/>
          </w:rPr>
          <w:t xml:space="preserve">1. Definición del problema</w:t>
        </w:r>
      </w:hyperlink>
    </w:p>
    <w:p>
      <w:pPr>
        <w:widowControl w:val="0"/>
        <w:spacing w:before="60" w:after="0" w:lineRule="auto"/>
      </w:pPr>
      <w:hyperlink w:anchor="_Toc00003">
        <w:r>
          <w:rPr>
            <w:rFonts w:ascii="Arial" w:cs="Arial" w:eastAsia="Arial" w:hAnsi="Arial"/>
            <w:b w:val="1"/>
            <w:bCs w:val="1"/>
            <w:i w:val="0"/>
            <w:iCs w:val="0"/>
            <w:color w:val="000000"/>
            <w:u w:val="none"/>
            <w:sz w:val="22"/>
            <w:szCs w:val="22"/>
          </w:rPr>
          <w:t xml:space="preserve">2. Usuario y contexto de uso</w:t>
        </w:r>
      </w:hyperlink>
    </w:p>
    <w:p>
      <w:pPr>
        <w:widowControl w:val="0"/>
        <w:spacing w:before="60" w:after="0" w:lineRule="auto"/>
        <w:ind w:left="360"/>
      </w:pPr>
      <w:hyperlink w:anchor="_Toc00004">
        <w:r>
          <w:rPr>
            <w:rFonts w:ascii="Arial" w:cs="Arial" w:eastAsia="Arial" w:hAnsi="Arial"/>
            <w:b w:val="0"/>
            <w:bCs w:val="0"/>
            <w:i w:val="0"/>
            <w:iCs w:val="0"/>
            <w:color w:val="000000"/>
            <w:u w:val="none"/>
            <w:sz w:val="22"/>
            <w:szCs w:val="22"/>
          </w:rPr>
          <w:t xml:space="preserve">2.1. Usuario principal</w:t>
        </w:r>
      </w:hyperlink>
    </w:p>
    <w:p>
      <w:pPr>
        <w:widowControl w:val="0"/>
        <w:spacing w:before="60" w:after="0" w:lineRule="auto"/>
        <w:ind w:left="360"/>
      </w:pPr>
      <w:hyperlink w:anchor="_Toc00005">
        <w:r>
          <w:rPr>
            <w:rFonts w:ascii="Arial" w:cs="Arial" w:eastAsia="Arial" w:hAnsi="Arial"/>
            <w:b w:val="0"/>
            <w:bCs w:val="0"/>
            <w:i w:val="0"/>
            <w:iCs w:val="0"/>
            <w:color w:val="000000"/>
            <w:u w:val="none"/>
            <w:sz w:val="22"/>
            <w:szCs w:val="22"/>
          </w:rPr>
          <w:t xml:space="preserve">2.2. Implicancias del contexto</w:t>
        </w:r>
      </w:hyperlink>
    </w:p>
    <w:p>
      <w:pPr>
        <w:widowControl w:val="0"/>
        <w:spacing w:before="60" w:after="0" w:lineRule="auto"/>
      </w:pPr>
      <w:hyperlink w:anchor="_Toc00006">
        <w:r>
          <w:rPr>
            <w:rFonts w:ascii="Arial" w:cs="Arial" w:eastAsia="Arial" w:hAnsi="Arial"/>
            <w:b w:val="1"/>
            <w:bCs w:val="1"/>
            <w:i w:val="0"/>
            <w:iCs w:val="0"/>
            <w:color w:val="000000"/>
            <w:u w:val="none"/>
            <w:sz w:val="22"/>
            <w:szCs w:val="22"/>
          </w:rPr>
          <w:t xml:space="preserve">3. Propuesta de solución</w:t>
        </w:r>
      </w:hyperlink>
    </w:p>
    <w:p>
      <w:pPr>
        <w:widowControl w:val="0"/>
        <w:spacing w:before="60" w:after="0" w:lineRule="auto"/>
        <w:ind w:left="360"/>
      </w:pPr>
      <w:hyperlink w:anchor="_Toc00007">
        <w:r>
          <w:rPr>
            <w:rFonts w:ascii="Arial" w:cs="Arial" w:eastAsia="Arial" w:hAnsi="Arial"/>
            <w:b w:val="0"/>
            <w:bCs w:val="0"/>
            <w:i w:val="0"/>
            <w:iCs w:val="0"/>
            <w:color w:val="000000"/>
            <w:u w:val="none"/>
            <w:sz w:val="22"/>
            <w:szCs w:val="22"/>
          </w:rPr>
          <w:t xml:space="preserve">3.1. Descripción</w:t>
        </w:r>
      </w:hyperlink>
    </w:p>
    <w:p>
      <w:pPr>
        <w:widowControl w:val="0"/>
        <w:spacing w:before="60" w:after="0" w:lineRule="auto"/>
        <w:ind w:left="360"/>
      </w:pPr>
      <w:hyperlink w:anchor="_Toc00008">
        <w:r>
          <w:rPr>
            <w:rFonts w:ascii="Arial" w:cs="Arial" w:eastAsia="Arial" w:hAnsi="Arial"/>
            <w:b w:val="0"/>
            <w:bCs w:val="0"/>
            <w:i w:val="0"/>
            <w:iCs w:val="0"/>
            <w:color w:val="000000"/>
            <w:u w:val="none"/>
            <w:sz w:val="22"/>
            <w:szCs w:val="22"/>
          </w:rPr>
          <w:t xml:space="preserve">3.2. ¿Por qué una aplicación móvil?</w:t>
        </w:r>
      </w:hyperlink>
    </w:p>
    <w:p>
      <w:pPr>
        <w:widowControl w:val="0"/>
        <w:spacing w:before="60" w:after="0" w:lineRule="auto"/>
        <w:ind w:left="360"/>
      </w:pPr>
      <w:hyperlink w:anchor="_Toc00009">
        <w:r>
          <w:rPr>
            <w:rFonts w:ascii="Arial" w:cs="Arial" w:eastAsia="Arial" w:hAnsi="Arial"/>
            <w:b w:val="0"/>
            <w:bCs w:val="0"/>
            <w:i w:val="0"/>
            <w:iCs w:val="0"/>
            <w:color w:val="000000"/>
            <w:u w:val="none"/>
            <w:sz w:val="22"/>
            <w:szCs w:val="22"/>
          </w:rPr>
          <w:t xml:space="preserve">3.3. ¿Por qué reglas y no inteligencia artificial?</w:t>
        </w:r>
      </w:hyperlink>
    </w:p>
    <w:p>
      <w:pPr>
        <w:widowControl w:val="0"/>
        <w:spacing w:before="60" w:after="0" w:lineRule="auto"/>
      </w:pPr>
      <w:hyperlink w:anchor="_Toc00010">
        <w:r>
          <w:rPr>
            <w:rFonts w:ascii="Arial" w:cs="Arial" w:eastAsia="Arial" w:hAnsi="Arial"/>
            <w:b w:val="1"/>
            <w:bCs w:val="1"/>
            <w:i w:val="0"/>
            <w:iCs w:val="0"/>
            <w:color w:val="000000"/>
            <w:u w:val="none"/>
            <w:sz w:val="22"/>
            <w:szCs w:val="22"/>
          </w:rPr>
          <w:t xml:space="preserve">4. Caso de negocio y propuesta de valor</w:t>
        </w:r>
      </w:hyperlink>
    </w:p>
    <w:p>
      <w:pPr>
        <w:widowControl w:val="0"/>
        <w:spacing w:before="60" w:after="0" w:lineRule="auto"/>
      </w:pPr>
      <w:hyperlink w:anchor="_Toc00011">
        <w:r>
          <w:rPr>
            <w:rFonts w:ascii="Arial" w:cs="Arial" w:eastAsia="Arial" w:hAnsi="Arial"/>
            <w:b w:val="1"/>
            <w:bCs w:val="1"/>
            <w:i w:val="0"/>
            <w:iCs w:val="0"/>
            <w:color w:val="000000"/>
            <w:u w:val="none"/>
            <w:sz w:val="22"/>
            <w:szCs w:val="22"/>
          </w:rPr>
          <w:t xml:space="preserve">5. Alcance y fuera de alcance</w:t>
        </w:r>
      </w:hyperlink>
    </w:p>
    <w:p>
      <w:pPr>
        <w:widowControl w:val="0"/>
        <w:spacing w:before="60" w:after="0" w:lineRule="auto"/>
        <w:ind w:left="360"/>
      </w:pPr>
      <w:hyperlink w:anchor="_Toc00012">
        <w:r>
          <w:rPr>
            <w:rFonts w:ascii="Arial" w:cs="Arial" w:eastAsia="Arial" w:hAnsi="Arial"/>
            <w:b w:val="0"/>
            <w:bCs w:val="0"/>
            <w:i w:val="0"/>
            <w:iCs w:val="0"/>
            <w:color w:val="000000"/>
            <w:u w:val="none"/>
            <w:sz w:val="22"/>
            <w:szCs w:val="22"/>
          </w:rPr>
          <w:t xml:space="preserve">5.1. Incluido en la primera versión</w:t>
        </w:r>
      </w:hyperlink>
    </w:p>
    <w:p>
      <w:pPr>
        <w:widowControl w:val="0"/>
        <w:spacing w:before="60" w:after="0" w:lineRule="auto"/>
        <w:ind w:left="360"/>
      </w:pPr>
      <w:hyperlink w:anchor="_Toc00013">
        <w:r>
          <w:rPr>
            <w:rFonts w:ascii="Arial" w:cs="Arial" w:eastAsia="Arial" w:hAnsi="Arial"/>
            <w:b w:val="0"/>
            <w:bCs w:val="0"/>
            <w:i w:val="0"/>
            <w:iCs w:val="0"/>
            <w:color w:val="000000"/>
            <w:u w:val="none"/>
            <w:sz w:val="22"/>
            <w:szCs w:val="22"/>
          </w:rPr>
          <w:t xml:space="preserve">5.2. Fuera de alcance</w:t>
        </w:r>
      </w:hyperlink>
    </w:p>
    <w:p>
      <w:pPr>
        <w:widowControl w:val="0"/>
        <w:spacing w:before="60" w:after="0" w:lineRule="auto"/>
      </w:pPr>
      <w:hyperlink w:anchor="_Toc00014">
        <w:r>
          <w:rPr>
            <w:rFonts w:ascii="Arial" w:cs="Arial" w:eastAsia="Arial" w:hAnsi="Arial"/>
            <w:b w:val="1"/>
            <w:bCs w:val="1"/>
            <w:i w:val="0"/>
            <w:iCs w:val="0"/>
            <w:color w:val="000000"/>
            <w:u w:val="none"/>
            <w:sz w:val="22"/>
            <w:szCs w:val="22"/>
          </w:rPr>
          <w:t xml:space="preserve">6. Requisitos funcionales</w:t>
        </w:r>
      </w:hyperlink>
    </w:p>
    <w:p>
      <w:pPr>
        <w:widowControl w:val="0"/>
        <w:spacing w:before="60" w:after="0" w:lineRule="auto"/>
      </w:pPr>
      <w:hyperlink w:anchor="_Toc00015">
        <w:r>
          <w:rPr>
            <w:rFonts w:ascii="Arial" w:cs="Arial" w:eastAsia="Arial" w:hAnsi="Arial"/>
            <w:b w:val="1"/>
            <w:bCs w:val="1"/>
            <w:i w:val="0"/>
            <w:iCs w:val="0"/>
            <w:color w:val="000000"/>
            <w:u w:val="none"/>
            <w:sz w:val="22"/>
            <w:szCs w:val="22"/>
          </w:rPr>
          <w:t xml:space="preserve">7. Requisitos no funcionales</w:t>
        </w:r>
      </w:hyperlink>
    </w:p>
    <w:p>
      <w:pPr>
        <w:widowControl w:val="0"/>
        <w:spacing w:before="60" w:after="0" w:lineRule="auto"/>
      </w:pPr>
      <w:hyperlink w:anchor="_Toc00016">
        <w:r>
          <w:rPr>
            <w:rFonts w:ascii="Arial" w:cs="Arial" w:eastAsia="Arial" w:hAnsi="Arial"/>
            <w:b w:val="1"/>
            <w:bCs w:val="1"/>
            <w:i w:val="0"/>
            <w:iCs w:val="0"/>
            <w:color w:val="000000"/>
            <w:u w:val="none"/>
            <w:sz w:val="22"/>
            <w:szCs w:val="22"/>
          </w:rPr>
          <w:t xml:space="preserve">8. Diseño de experiencia (UI, UX y CX)</w:t>
        </w:r>
      </w:hyperlink>
    </w:p>
    <w:p>
      <w:pPr>
        <w:widowControl w:val="0"/>
        <w:spacing w:before="60" w:after="0" w:lineRule="auto"/>
        <w:ind w:left="360"/>
      </w:pPr>
      <w:hyperlink w:anchor="_Toc00017">
        <w:r>
          <w:rPr>
            <w:rFonts w:ascii="Arial" w:cs="Arial" w:eastAsia="Arial" w:hAnsi="Arial"/>
            <w:b w:val="0"/>
            <w:bCs w:val="0"/>
            <w:i w:val="0"/>
            <w:iCs w:val="0"/>
            <w:color w:val="000000"/>
            <w:u w:val="none"/>
            <w:sz w:val="22"/>
            <w:szCs w:val="22"/>
          </w:rPr>
          <w:t xml:space="preserve">8.1. Principios de experiencia</w:t>
        </w:r>
      </w:hyperlink>
    </w:p>
    <w:p>
      <w:pPr>
        <w:widowControl w:val="0"/>
        <w:spacing w:before="60" w:after="0" w:lineRule="auto"/>
        <w:ind w:left="360"/>
      </w:pPr>
      <w:hyperlink w:anchor="_Toc00018">
        <w:r>
          <w:rPr>
            <w:rFonts w:ascii="Arial" w:cs="Arial" w:eastAsia="Arial" w:hAnsi="Arial"/>
            <w:b w:val="0"/>
            <w:bCs w:val="0"/>
            <w:i w:val="0"/>
            <w:iCs w:val="0"/>
            <w:color w:val="000000"/>
            <w:u w:val="none"/>
            <w:sz w:val="22"/>
            <w:szCs w:val="22"/>
          </w:rPr>
          <w:t xml:space="preserve">8.2. Pantallas principales</w:t>
        </w:r>
      </w:hyperlink>
    </w:p>
    <w:p>
      <w:pPr>
        <w:widowControl w:val="0"/>
        <w:spacing w:before="60" w:after="0" w:lineRule="auto"/>
        <w:ind w:left="360"/>
      </w:pPr>
      <w:hyperlink w:anchor="_Toc00019">
        <w:r>
          <w:rPr>
            <w:rFonts w:ascii="Arial" w:cs="Arial" w:eastAsia="Arial" w:hAnsi="Arial"/>
            <w:b w:val="0"/>
            <w:bCs w:val="0"/>
            <w:i w:val="0"/>
            <w:iCs w:val="0"/>
            <w:color w:val="000000"/>
            <w:u w:val="none"/>
            <w:sz w:val="22"/>
            <w:szCs w:val="22"/>
          </w:rPr>
          <w:t xml:space="preserve">8.3. Estados de pantalla</w:t>
        </w:r>
      </w:hyperlink>
    </w:p>
    <w:p>
      <w:pPr>
        <w:widowControl w:val="0"/>
        <w:spacing w:before="60" w:after="0" w:lineRule="auto"/>
      </w:pPr>
      <w:hyperlink w:anchor="_Toc00020">
        <w:r>
          <w:rPr>
            <w:rFonts w:ascii="Arial" w:cs="Arial" w:eastAsia="Arial" w:hAnsi="Arial"/>
            <w:b w:val="1"/>
            <w:bCs w:val="1"/>
            <w:i w:val="0"/>
            <w:iCs w:val="0"/>
            <w:color w:val="000000"/>
            <w:u w:val="none"/>
            <w:sz w:val="22"/>
            <w:szCs w:val="22"/>
          </w:rPr>
          <w:t xml:space="preserve">9. Flujo de pantallas</w:t>
        </w:r>
      </w:hyperlink>
    </w:p>
    <w:p>
      <w:pPr>
        <w:widowControl w:val="0"/>
        <w:spacing w:before="60" w:after="0" w:lineRule="auto"/>
      </w:pPr>
      <w:hyperlink w:anchor="_Toc00021">
        <w:r>
          <w:rPr>
            <w:rFonts w:ascii="Arial" w:cs="Arial" w:eastAsia="Arial" w:hAnsi="Arial"/>
            <w:b w:val="1"/>
            <w:bCs w:val="1"/>
            <w:i w:val="0"/>
            <w:iCs w:val="0"/>
            <w:color w:val="000000"/>
            <w:u w:val="none"/>
            <w:sz w:val="22"/>
            <w:szCs w:val="22"/>
          </w:rPr>
          <w:t xml:space="preserve">10. Arquitectura</w:t>
        </w:r>
      </w:hyperlink>
    </w:p>
    <w:p>
      <w:pPr>
        <w:widowControl w:val="0"/>
        <w:spacing w:before="60" w:after="0" w:lineRule="auto"/>
        <w:ind w:left="360"/>
      </w:pPr>
      <w:hyperlink w:anchor="_Toc00022">
        <w:r>
          <w:rPr>
            <w:rFonts w:ascii="Arial" w:cs="Arial" w:eastAsia="Arial" w:hAnsi="Arial"/>
            <w:b w:val="0"/>
            <w:bCs w:val="0"/>
            <w:i w:val="0"/>
            <w:iCs w:val="0"/>
            <w:color w:val="000000"/>
            <w:u w:val="none"/>
            <w:sz w:val="22"/>
            <w:szCs w:val="22"/>
          </w:rPr>
          <w:t xml:space="preserve">10.1. Capas y responsabilidades</w:t>
        </w:r>
      </w:hyperlink>
    </w:p>
    <w:p>
      <w:pPr>
        <w:widowControl w:val="0"/>
        <w:spacing w:before="60" w:after="0" w:lineRule="auto"/>
        <w:ind w:left="360"/>
      </w:pPr>
      <w:hyperlink w:anchor="_Toc00023">
        <w:r>
          <w:rPr>
            <w:rFonts w:ascii="Arial" w:cs="Arial" w:eastAsia="Arial" w:hAnsi="Arial"/>
            <w:b w:val="0"/>
            <w:bCs w:val="0"/>
            <w:i w:val="0"/>
            <w:iCs w:val="0"/>
            <w:color w:val="000000"/>
            <w:u w:val="none"/>
            <w:sz w:val="22"/>
            <w:szCs w:val="22"/>
          </w:rPr>
          <w:t xml:space="preserve">10.2. Flujo de datos</w:t>
        </w:r>
      </w:hyperlink>
    </w:p>
    <w:p>
      <w:pPr>
        <w:widowControl w:val="0"/>
        <w:spacing w:before="60" w:after="0" w:lineRule="auto"/>
        <w:ind w:left="360"/>
      </w:pPr>
      <w:hyperlink w:anchor="_Toc00024">
        <w:r>
          <w:rPr>
            <w:rFonts w:ascii="Arial" w:cs="Arial" w:eastAsia="Arial" w:hAnsi="Arial"/>
            <w:b w:val="0"/>
            <w:bCs w:val="0"/>
            <w:i w:val="0"/>
            <w:iCs w:val="0"/>
            <w:color w:val="000000"/>
            <w:u w:val="none"/>
            <w:sz w:val="22"/>
            <w:szCs w:val="22"/>
          </w:rPr>
          <w:t xml:space="preserve">10.3. Topología de infraestructura</w:t>
        </w:r>
      </w:hyperlink>
    </w:p>
    <w:p>
      <w:pPr>
        <w:widowControl w:val="0"/>
        <w:spacing w:before="60" w:after="0" w:lineRule="auto"/>
      </w:pPr>
      <w:hyperlink w:anchor="_Toc00025">
        <w:r>
          <w:rPr>
            <w:rFonts w:ascii="Arial" w:cs="Arial" w:eastAsia="Arial" w:hAnsi="Arial"/>
            <w:b w:val="1"/>
            <w:bCs w:val="1"/>
            <w:i w:val="0"/>
            <w:iCs w:val="0"/>
            <w:color w:val="000000"/>
            <w:u w:val="none"/>
            <w:sz w:val="22"/>
            <w:szCs w:val="22"/>
          </w:rPr>
          <w:t xml:space="preserve">11. Persistencia y estrategia de datos</w:t>
        </w:r>
      </w:hyperlink>
    </w:p>
    <w:p>
      <w:pPr>
        <w:widowControl w:val="0"/>
        <w:spacing w:before="60" w:after="0" w:lineRule="auto"/>
        <w:ind w:left="360"/>
      </w:pPr>
      <w:hyperlink w:anchor="_Toc00026">
        <w:r>
          <w:rPr>
            <w:rFonts w:ascii="Arial" w:cs="Arial" w:eastAsia="Arial" w:hAnsi="Arial"/>
            <w:b w:val="0"/>
            <w:bCs w:val="0"/>
            <w:i w:val="0"/>
            <w:iCs w:val="0"/>
            <w:color w:val="000000"/>
            <w:u w:val="none"/>
            <w:sz w:val="22"/>
            <w:szCs w:val="22"/>
          </w:rPr>
          <w:t xml:space="preserve">11.1. Entidades y relaciones</w:t>
        </w:r>
      </w:hyperlink>
    </w:p>
    <w:p>
      <w:pPr>
        <w:widowControl w:val="0"/>
        <w:spacing w:before="60" w:after="0" w:lineRule="auto"/>
        <w:ind w:left="360"/>
      </w:pPr>
      <w:hyperlink w:anchor="_Toc00027">
        <w:r>
          <w:rPr>
            <w:rFonts w:ascii="Arial" w:cs="Arial" w:eastAsia="Arial" w:hAnsi="Arial"/>
            <w:b w:val="0"/>
            <w:bCs w:val="0"/>
            <w:i w:val="0"/>
            <w:iCs w:val="0"/>
            <w:color w:val="000000"/>
            <w:u w:val="none"/>
            <w:sz w:val="22"/>
            <w:szCs w:val="22"/>
          </w:rPr>
          <w:t xml:space="preserve">11.2. Almacenamiento local y remoto</w:t>
        </w:r>
      </w:hyperlink>
    </w:p>
    <w:p>
      <w:pPr>
        <w:widowControl w:val="0"/>
        <w:spacing w:before="60" w:after="0" w:lineRule="auto"/>
      </w:pPr>
      <w:hyperlink w:anchor="_Toc00028">
        <w:r>
          <w:rPr>
            <w:rFonts w:ascii="Arial" w:cs="Arial" w:eastAsia="Arial" w:hAnsi="Arial"/>
            <w:b w:val="1"/>
            <w:bCs w:val="1"/>
            <w:i w:val="0"/>
            <w:iCs w:val="0"/>
            <w:color w:val="000000"/>
            <w:u w:val="none"/>
            <w:sz w:val="22"/>
            <w:szCs w:val="22"/>
          </w:rPr>
          <w:t xml:space="preserve">12. Estrategia Offline First</w:t>
        </w:r>
      </w:hyperlink>
    </w:p>
    <w:p>
      <w:pPr>
        <w:widowControl w:val="0"/>
        <w:spacing w:before="60" w:after="0" w:lineRule="auto"/>
      </w:pPr>
      <w:hyperlink w:anchor="_Toc00029">
        <w:r>
          <w:rPr>
            <w:rFonts w:ascii="Arial" w:cs="Arial" w:eastAsia="Arial" w:hAnsi="Arial"/>
            <w:b w:val="1"/>
            <w:bCs w:val="1"/>
            <w:i w:val="0"/>
            <w:iCs w:val="0"/>
            <w:color w:val="000000"/>
            <w:u w:val="none"/>
            <w:sz w:val="22"/>
            <w:szCs w:val="22"/>
          </w:rPr>
          <w:t xml:space="preserve">13. Tecnologías previstas</w:t>
        </w:r>
      </w:hyperlink>
    </w:p>
    <w:p>
      <w:pPr>
        <w:widowControl w:val="0"/>
        <w:spacing w:before="60" w:after="0" w:lineRule="auto"/>
      </w:pPr>
      <w:hyperlink w:anchor="_Toc00030">
        <w:r>
          <w:rPr>
            <w:rFonts w:ascii="Arial" w:cs="Arial" w:eastAsia="Arial" w:hAnsi="Arial"/>
            <w:b w:val="1"/>
            <w:bCs w:val="1"/>
            <w:i w:val="0"/>
            <w:iCs w:val="0"/>
            <w:color w:val="000000"/>
            <w:u w:val="none"/>
            <w:sz w:val="22"/>
            <w:szCs w:val="22"/>
          </w:rPr>
          <w:t xml:space="preserve">14. Repositorio y forma de trabajo</w:t>
        </w:r>
      </w:hyperlink>
    </w:p>
    <w:p>
      <w:pPr>
        <w:widowControl w:val="0"/>
        <w:spacing w:before="60" w:after="0" w:lineRule="auto"/>
      </w:pPr>
      <w:hyperlink w:anchor="_Toc00031">
        <w:r>
          <w:rPr>
            <w:rFonts w:ascii="Arial" w:cs="Arial" w:eastAsia="Arial" w:hAnsi="Arial"/>
            <w:b w:val="1"/>
            <w:bCs w:val="1"/>
            <w:i w:val="0"/>
            <w:iCs w:val="0"/>
            <w:color w:val="000000"/>
            <w:u w:val="none"/>
            <w:sz w:val="22"/>
            <w:szCs w:val="22"/>
          </w:rPr>
          <w:t xml:space="preserve">15. Integrantes, roles y responsabilidades</w:t>
        </w:r>
      </w:hyperlink>
    </w:p>
    <w:p>
      <w:pPr>
        <w:widowControl w:val="0"/>
        <w:spacing w:before="60" w:after="0" w:lineRule="auto"/>
      </w:pPr>
      <w:hyperlink w:anchor="_Toc00032">
        <w:r>
          <w:rPr>
            <w:rFonts w:ascii="Arial" w:cs="Arial" w:eastAsia="Arial" w:hAnsi="Arial"/>
            <w:b w:val="1"/>
            <w:bCs w:val="1"/>
            <w:i w:val="0"/>
            <w:iCs w:val="0"/>
            <w:color w:val="000000"/>
            <w:u w:val="none"/>
            <w:sz w:val="22"/>
            <w:szCs w:val="22"/>
          </w:rPr>
          <w:t xml:space="preserve">Anexo A. Trazabilidad de requisitos</w:t>
        </w:r>
      </w:hyperlink>
    </w:p>
    <w:p>
      <w:pPr>
        <w:widowControl w:val="0"/>
        <w:spacing w:before="60" w:after="0" w:lineRule="auto"/>
      </w:pPr>
      <w:hyperlink w:anchor="_Toc00033">
        <w:r>
          <w:rPr>
            <w:rFonts w:ascii="Arial" w:cs="Arial" w:eastAsia="Arial" w:hAnsi="Arial"/>
            <w:b w:val="1"/>
            <w:bCs w:val="1"/>
            <w:i w:val="0"/>
            <w:iCs w:val="0"/>
            <w:color w:val="000000"/>
            <w:u w:val="none"/>
            <w:sz w:val="22"/>
            <w:szCs w:val="22"/>
          </w:rPr>
          <w:t xml:space="preserve">Anexo B. Uso de inteligencia artificial</w:t>
        </w:r>
      </w:hyperlink>
    </w:p>
    <w:p>
      <w:r>
        <w:fldChar w:fldCharType="end"/>
      </w:r>
    </w:p>
    <w:p>
      <w:r>
        <w:br w:type="page"/>
      </w:r>
    </w:p>
    <w:p>
      <w:pPr>
        <w:pStyle w:val="Heading1"/>
        <w:keepNext w:val="1"/>
        <w:spacing w:after="120" w:before="240" w:line="360" w:lineRule="auto"/>
      </w:pPr>
      <w:bookmarkStart w:id="2" w:name="_Toc00002"/>
      <w:r>
        <w:rPr>
          <w:rFonts w:ascii="Arial" w:cs="Arial" w:eastAsia="Arial" w:hAnsi="Arial"/>
          <w:b w:val="1"/>
          <w:bCs w:val="1"/>
          <w:i w:val="0"/>
          <w:iCs w:val="0"/>
          <w:sz w:val="28"/>
          <w:szCs w:val="28"/>
        </w:rPr>
        <w:t xml:space="preserve">1. Definición del problema</w:t>
      </w:r>
      <w:bookmarkEnd w:id="2"/>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Las personas que entrenan fuerza en el gimnasio no saben con qué peso, series y repeticiones hacer cada ejercicio para seguir progresando sin lastimarse. Los novatos ni siquiera saben qué rutina seguir. El problema aparece en el gimnasio, en el momento de entrenar, y se repite en cada sesión.</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Hoy se resuelve con notas del celular, papel, planillas, memoria, rutinas copiadas de Instagram o un personal trainer. Anotar entre series es incómodo, los datos no quedan estructurados, las subidas de peso se deciden a ojo y el trainer es caro. El resultado es estancamiento, sobrecarga o datos perdidos.</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 Preguntas que definen el problema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835"/>
        <w:gridCol w:w="6236"/>
      </w:tblGrid>
      <w:tr>
        <w:trPr>
          <w:cantSplit w:val="1"/>
          <w:tblHeader w:val="1"/>
        </w:trPr>
        <w:tc>
          <w:tcPr>
            <w:tcW w:w="28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Pregunta</w:t>
            </w:r>
          </w:p>
        </w:tc>
        <w:tc>
          <w:tcPr>
            <w:tcW w:w="623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Respuesta</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¿Qué problema existe?</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 saber qué carga usar ni cuándo subirla, y no tener un registro útil de lo entrenado.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¿Quién lo experimenta?</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Personas que entrenan fuerza, en especial las que llevan menos de 6 meses.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qué contexto ocurre?</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el gimnasio, entre series, con poco tiempo y la atención puesta en el ejercicio.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¿Cómo se resuelve hoy?</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Notas, papel, planillas, memoria, rutinas de redes sociales o un personal trainer.</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¿Qué dificultades tiene?</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Registro incómodo y desordenado, progresión a ojo y alto costo del trainer.</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¿Por qué una app móvil?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registro ocurre en el gimnasio, con el celular en la mano. No hay otro momento ni otro dispositivo para hacerlo.</w:t>
            </w:r>
          </w:p>
        </w:tc>
      </w:tr>
    </w:tbl>
    <w:p>
      <w:pPr>
        <w:spacing w:after="0" w:line="240" w:lineRule="auto"/>
      </w:pPr>
    </w:p>
    <w:p>
      <w:pPr>
        <w:pStyle w:val="Heading1"/>
        <w:keepNext w:val="1"/>
        <w:spacing w:after="120" w:before="240" w:line="360" w:lineRule="auto"/>
      </w:pPr>
      <w:bookmarkStart w:id="3" w:name="_Toc00003"/>
      <w:r>
        <w:rPr>
          <w:rFonts w:ascii="Arial" w:cs="Arial" w:eastAsia="Arial" w:hAnsi="Arial"/>
          <w:b w:val="1"/>
          <w:bCs w:val="1"/>
          <w:i w:val="0"/>
          <w:iCs w:val="0"/>
          <w:sz w:val="28"/>
          <w:szCs w:val="28"/>
        </w:rPr>
        <w:t xml:space="preserve">2. Usuario y contexto de uso</w:t>
      </w:r>
      <w:bookmarkEnd w:id="3"/>
    </w:p>
    <w:p>
      <w:pPr>
        <w:pStyle w:val="Heading2"/>
        <w:keepNext w:val="1"/>
        <w:spacing w:after="60" w:before="180" w:line="360" w:lineRule="auto"/>
      </w:pPr>
      <w:bookmarkStart w:id="4" w:name="_Toc00004"/>
      <w:r>
        <w:rPr>
          <w:rFonts w:ascii="Arial" w:cs="Arial" w:eastAsia="Arial" w:hAnsi="Arial"/>
          <w:b w:val="1"/>
          <w:bCs w:val="1"/>
          <w:i w:val="0"/>
          <w:iCs w:val="0"/>
          <w:sz w:val="24"/>
          <w:szCs w:val="24"/>
        </w:rPr>
        <w:t xml:space="preserve">2.1. Usuario principal</w:t>
      </w:r>
      <w:bookmarkEnd w:id="4"/>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usuario principal es el </w:t>
      </w:r>
      <w:r>
        <w:rPr>
          <w:rFonts w:ascii="Times New Roman" w:cs="Times New Roman" w:eastAsia="Times New Roman" w:hAnsi="Times New Roman"/>
          <w:b w:val="1"/>
          <w:bCs w:val="1"/>
          <w:i w:val="0"/>
          <w:iCs w:val="0"/>
          <w:sz w:val="24"/>
          <w:szCs w:val="24"/>
        </w:rPr>
        <w:t xml:space="preserve">novato</w:t>
      </w:r>
      <w:r>
        <w:rPr>
          <w:rFonts w:ascii="Times New Roman" w:cs="Times New Roman" w:eastAsia="Times New Roman" w:hAnsi="Times New Roman"/>
          <w:b w:val="0"/>
          <w:bCs w:val="0"/>
          <w:i w:val="0"/>
          <w:iCs w:val="0"/>
          <w:sz w:val="24"/>
          <w:szCs w:val="24"/>
        </w:rPr>
        <w:t xml:space="preserve">: necesita saber qué hacer y con cuánto peso, sin tener que estudiar. El usuario secundario es el </w:t>
      </w:r>
      <w:r>
        <w:rPr>
          <w:rFonts w:ascii="Times New Roman" w:cs="Times New Roman" w:eastAsia="Times New Roman" w:hAnsi="Times New Roman"/>
          <w:b w:val="1"/>
          <w:bCs w:val="1"/>
          <w:i w:val="0"/>
          <w:iCs w:val="0"/>
          <w:sz w:val="24"/>
          <w:szCs w:val="24"/>
        </w:rPr>
        <w:t xml:space="preserve">intermedio o avanzado</w:t>
      </w:r>
      <w:r>
        <w:rPr>
          <w:rFonts w:ascii="Times New Roman" w:cs="Times New Roman" w:eastAsia="Times New Roman" w:hAnsi="Times New Roman"/>
          <w:b w:val="0"/>
          <w:bCs w:val="0"/>
          <w:i w:val="0"/>
          <w:iCs w:val="0"/>
          <w:sz w:val="24"/>
          <w:szCs w:val="24"/>
        </w:rPr>
        <w:t xml:space="preserve">, que ya sabe entrenar y quiere armar su rutina y que la app haga las cuentas de progresión.</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II. Perfil del usuario principal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835"/>
        <w:gridCol w:w="6236"/>
      </w:tblGrid>
      <w:tr>
        <w:trPr>
          <w:cantSplit w:val="1"/>
          <w:tblHeader w:val="1"/>
        </w:trPr>
        <w:tc>
          <w:tcPr>
            <w:tcW w:w="28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Atributo</w:t>
            </w:r>
          </w:p>
        </w:tc>
        <w:tc>
          <w:tcPr>
            <w:tcW w:w="623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Descripción</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Características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Entrena hace menos de 6 meses, o vuelve tras más de 6 meses sin entrenar. No conoce términos como RIR o 1RM.</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Necesidad principal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Saber qué hacer hoy y con cuánto peso.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Contexto de uso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el gimnasio, entre series de 1 a 3 minutos.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Frecuencia de uso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De 2 a 6 sesiones por semana, con decenas de interacciones breves por sesión.</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Restricciones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Una sola mano libre, manos transpiradas, atención dividida.</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Conectividad</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Mala o nula: muchos gimnasios están en subsuelos.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Condiciones situacionales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Teléfono apoyado en un banco o en el piso, ruido, pantalla que se bloquea durante el descanso.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Dificultades actuales</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Copia rutinas sin criterio, sube de peso a ojo o nunca sube, pierde lo anotado.</w:t>
            </w:r>
          </w:p>
        </w:tc>
      </w:tr>
    </w:tbl>
    <w:p>
      <w:pPr>
        <w:spacing w:after="0" w:line="240" w:lineRule="auto"/>
      </w:pPr>
    </w:p>
    <w:p>
      <w:pPr>
        <w:pStyle w:val="Heading2"/>
        <w:keepNext w:val="1"/>
        <w:spacing w:after="60" w:before="180" w:line="360" w:lineRule="auto"/>
      </w:pPr>
      <w:bookmarkStart w:id="5" w:name="_Toc00005"/>
      <w:r>
        <w:rPr>
          <w:rFonts w:ascii="Arial" w:cs="Arial" w:eastAsia="Arial" w:hAnsi="Arial"/>
          <w:b w:val="1"/>
          <w:bCs w:val="1"/>
          <w:i w:val="0"/>
          <w:iCs w:val="0"/>
          <w:sz w:val="24"/>
          <w:szCs w:val="24"/>
        </w:rPr>
        <w:t xml:space="preserve">2.2. Implicancias del contexto</w:t>
      </w:r>
      <w:bookmarkEnd w:id="5"/>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 app se usa en movimiento, durante períodos breves, con conectividad intermitente, con una sola mano y mientras el usuario hace otra actividad. Siguiendo la idea de computación ubicua de Mark Weiser, la app ya sabe qué ejercicio toca y con qué carga, y el usuario solo confirma o ajusta. Confirmar una serie sugerida lleva un toque.</w:t>
      </w:r>
    </w:p>
    <w:p>
      <w:pPr>
        <w:pStyle w:val="Heading1"/>
        <w:keepNext w:val="1"/>
        <w:spacing w:after="120" w:before="240" w:line="360" w:lineRule="auto"/>
      </w:pPr>
      <w:bookmarkStart w:id="6" w:name="_Toc00006"/>
      <w:r>
        <w:rPr>
          <w:rFonts w:ascii="Arial" w:cs="Arial" w:eastAsia="Arial" w:hAnsi="Arial"/>
          <w:b w:val="1"/>
          <w:bCs w:val="1"/>
          <w:i w:val="0"/>
          <w:iCs w:val="0"/>
          <w:sz w:val="28"/>
          <w:szCs w:val="28"/>
        </w:rPr>
        <w:t xml:space="preserve">3. Propuesta de solución</w:t>
      </w:r>
      <w:bookmarkEnd w:id="6"/>
    </w:p>
    <w:p>
      <w:pPr>
        <w:pStyle w:val="Heading2"/>
        <w:keepNext w:val="1"/>
        <w:spacing w:after="60" w:before="180" w:line="360" w:lineRule="auto"/>
      </w:pPr>
      <w:bookmarkStart w:id="7" w:name="_Toc00007"/>
      <w:r>
        <w:rPr>
          <w:rFonts w:ascii="Arial" w:cs="Arial" w:eastAsia="Arial" w:hAnsi="Arial"/>
          <w:b w:val="1"/>
          <w:bCs w:val="1"/>
          <w:i w:val="0"/>
          <w:iCs w:val="0"/>
          <w:sz w:val="24"/>
          <w:szCs w:val="24"/>
        </w:rPr>
        <w:t xml:space="preserve">3.1. Descripción</w:t>
      </w:r>
      <w:bookmarkEnd w:id="7"/>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III. Definición de la solución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835"/>
        <w:gridCol w:w="6236"/>
      </w:tblGrid>
      <w:tr>
        <w:trPr>
          <w:cantSplit w:val="1"/>
          <w:tblHeader w:val="1"/>
        </w:trPr>
        <w:tc>
          <w:tcPr>
            <w:tcW w:w="28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Campo</w:t>
            </w:r>
          </w:p>
        </w:tc>
        <w:tc>
          <w:tcPr>
            <w:tcW w:w="623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Definición</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Nombre provisorio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OneRM</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Descripción</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entrenador personal de bolsillo: indica qué hacer hoy según el historial y permite registrarlo con un toque, con o sin señal.</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principal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Novato que entrena fuerza en el gimnasio.</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Propuesta de valor</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Progresar de forma constante y segura sin pagar un personal trainer, con un historial que no se pierde.</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Escenario principal</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usuario abre la app en el gimnasio, ve el día que le toca y en cada serie confirma la carga sugerida. Al terminar, la próxima sesión ya tiene sus sugerencias.</w:t>
            </w:r>
          </w:p>
        </w:tc>
      </w:tr>
      <w:tr>
        <w:trPr>
          <w:cantSplit w:val="1"/>
        </w:trPr>
        <w:tc>
          <w:tcPr>
            <w:tcW w:w="28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Beneficio esperado</w:t>
            </w:r>
          </w:p>
        </w:tc>
        <w:tc>
          <w:tcPr>
            <w:tcW w:w="623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Menos decisiones a ojo, menos estancamiento y datos estructurados para ver el progreso.</w:t>
            </w:r>
          </w:p>
        </w:tc>
      </w:tr>
    </w:tbl>
    <w:p>
      <w:pPr>
        <w:spacing w:after="0" w:line="240" w:lineRule="auto"/>
      </w:pPr>
    </w:p>
    <w:p>
      <w:pPr>
        <w:pStyle w:val="Heading2"/>
        <w:keepNext w:val="1"/>
        <w:spacing w:after="60" w:before="180" w:line="360" w:lineRule="auto"/>
      </w:pPr>
      <w:bookmarkStart w:id="8" w:name="_Toc00008"/>
      <w:r>
        <w:rPr>
          <w:rFonts w:ascii="Arial" w:cs="Arial" w:eastAsia="Arial" w:hAnsi="Arial"/>
          <w:b w:val="1"/>
          <w:bCs w:val="1"/>
          <w:i w:val="0"/>
          <w:iCs w:val="0"/>
          <w:sz w:val="24"/>
          <w:szCs w:val="24"/>
        </w:rPr>
        <w:t xml:space="preserve">3.2. ¿Por qué una aplicación móvil?</w:t>
      </w:r>
      <w:bookmarkEnd w:id="8"/>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registro ocurre en el gimnasio, entre series. Una web depende de la conexión, que ahí suele faltar, y un sistema de escritorio no está presente en el momento de entrenar. Además, el teléfono aporta capacidades que resuelven partes concretas del problema. GPS, cámara y sensores se descartan porque no aportan valor.</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IV. Capacidades móviles consideradas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474"/>
        <w:gridCol w:w="4948"/>
        <w:gridCol w:w="1649"/>
      </w:tblGrid>
      <w:tr>
        <w:trPr>
          <w:cantSplit w:val="1"/>
          <w:tblHeader w:val="1"/>
        </w:trPr>
        <w:tc>
          <w:tcPr>
            <w:tcW w:w="247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Capacidad</w:t>
            </w:r>
          </w:p>
        </w:tc>
        <w:tc>
          <w:tcPr>
            <w:tcW w:w="494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Uso</w:t>
            </w:r>
          </w:p>
        </w:tc>
        <w:tc>
          <w:tcPr>
            <w:tcW w:w="164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Decisión</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Almacenamiento local</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Base de la estrategia Offline First: todo se guarda primero en el dispositivo.</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Notificaciones y vibración</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Aviso de fin de descanso aunque la pantalla esté bloqueada.</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Pantalla siempre encendida</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Solo durante el entrenamiento, para no desbloquear entre series.</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Hápticos</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Confirmación táctil al registrar una serie.</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usa</w:t>
            </w:r>
          </w:p>
        </w:tc>
      </w:tr>
      <w:tr>
        <w:trPr>
          <w:cantSplit w:val="1"/>
        </w:trPr>
        <w:tc>
          <w:tcPr>
            <w:tcW w:w="247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GPS, cámara y sensores</w:t>
            </w:r>
          </w:p>
        </w:tc>
        <w:tc>
          <w:tcPr>
            <w:tcW w:w="494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 resuelven ninguna parte del problema.</w:t>
            </w:r>
          </w:p>
        </w:tc>
        <w:tc>
          <w:tcPr>
            <w:tcW w:w="16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descartan</w:t>
            </w:r>
          </w:p>
        </w:tc>
      </w:tr>
    </w:tbl>
    <w:p>
      <w:pPr>
        <w:spacing w:after="0" w:line="240" w:lineRule="auto"/>
      </w:pPr>
    </w:p>
    <w:p>
      <w:pPr>
        <w:pStyle w:val="Heading2"/>
        <w:keepNext w:val="1"/>
        <w:spacing w:after="60" w:before="180" w:line="360" w:lineRule="auto"/>
      </w:pPr>
      <w:bookmarkStart w:id="9" w:name="_Toc00009"/>
      <w:r>
        <w:rPr>
          <w:rFonts w:ascii="Arial" w:cs="Arial" w:eastAsia="Arial" w:hAnsi="Arial"/>
          <w:b w:val="1"/>
          <w:bCs w:val="1"/>
          <w:i w:val="0"/>
          <w:iCs w:val="0"/>
          <w:sz w:val="24"/>
          <w:szCs w:val="24"/>
        </w:rPr>
        <w:t xml:space="preserve">3.3. ¿Por qué reglas y no inteligencia artificial?</w:t>
      </w:r>
      <w:bookmarkEnd w:id="9"/>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Las sugerencias salen de reglas deterministas. Se pueden explicar en la defensa (por qué la app sugiere 62,5 kg), se prueban con tests unitarios y funcionan sin conexión.</w:t>
      </w:r>
    </w:p>
    <w:p>
      <w:pPr>
        <w:pStyle w:val="Heading1"/>
        <w:keepNext w:val="1"/>
        <w:spacing w:after="120" w:before="240" w:line="360" w:lineRule="auto"/>
      </w:pPr>
      <w:bookmarkStart w:id="10" w:name="_Toc00010"/>
      <w:r>
        <w:rPr>
          <w:rFonts w:ascii="Arial" w:cs="Arial" w:eastAsia="Arial" w:hAnsi="Arial"/>
          <w:b w:val="1"/>
          <w:bCs w:val="1"/>
          <w:i w:val="0"/>
          <w:iCs w:val="0"/>
          <w:sz w:val="28"/>
          <w:szCs w:val="28"/>
        </w:rPr>
        <w:t xml:space="preserve">4. Caso de negocio y propuesta de valor</w:t>
      </w:r>
      <w:bookmarkEnd w:id="10"/>
    </w:p>
    <w:p>
      <w:pPr>
        <w:spacing w:after="0" w:line="360" w:lineRule="auto"/>
        <w:ind w:firstLine="708"/>
        <w:jc w:val="both"/>
      </w:pPr>
      <w:r>
        <w:rPr>
          <w:rFonts w:ascii="Times New Roman" w:cs="Times New Roman" w:eastAsia="Times New Roman" w:hAnsi="Times New Roman"/>
          <w:b w:val="1"/>
          <w:bCs w:val="1"/>
          <w:i w:val="0"/>
          <w:iCs w:val="0"/>
          <w:sz w:val="24"/>
          <w:szCs w:val="24"/>
        </w:rPr>
        <w:t xml:space="preserve">Problema → Usuario → Solución → Valor:</w:t>
      </w:r>
      <w:r>
        <w:rPr>
          <w:rFonts w:ascii="Times New Roman" w:cs="Times New Roman" w:eastAsia="Times New Roman" w:hAnsi="Times New Roman"/>
          <w:b w:val="0"/>
          <w:bCs w:val="0"/>
          <w:i w:val="0"/>
          <w:iCs w:val="0"/>
          <w:sz w:val="24"/>
          <w:szCs w:val="24"/>
        </w:rPr>
        <w:t xml:space="preserve"> no sé cuánto peso usar ni si progreso → novato en el gimnasio → app que dice qué hacer hoy y lo registra con un toque, incluso sin señal → progresión constante y segura, sin el costo de un trainer y con un historial que no se pierde.</w:t>
      </w: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valor es de salud (progresión segura), económico (reemplaza parte del trabajo de un trainer) y de experiencia (registro rápido en el contexto real).</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 Objetivos del producto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573"/>
        <w:gridCol w:w="5498"/>
      </w:tblGrid>
      <w:tr>
        <w:trPr>
          <w:cantSplit w:val="1"/>
          <w:tblHeader w:val="1"/>
        </w:trPr>
        <w:tc>
          <w:tcPr>
            <w:tcW w:w="3573"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Objetivo</w:t>
            </w:r>
          </w:p>
        </w:tc>
        <w:tc>
          <w:tcPr>
            <w:tcW w:w="549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Cómo se mide</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OBJ-01. Decir qué hacer hoy sin que el usuario calcule.</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Todo ejercicio tiene una sugerencia de carga o una instrucción de calibración.</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OBJ-02. Registrar con o sin señal.</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Confirmar una serie sugerida lleva un toque. Ninguna acción del entrenamiento requiere conexión.</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OBJ-03. Progresar de forma segura y explicable.</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Toda sugerencia muestra la regla que la produjo.</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OBJ-04. Que el historial no se pierda.</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 cuenta, los datos se respaldan y se restauran en otro dispositivo.</w:t>
            </w:r>
          </w:p>
        </w:tc>
      </w:tr>
      <w:tr>
        <w:trPr>
          <w:cantSplit w:val="1"/>
        </w:trPr>
        <w:tc>
          <w:tcPr>
            <w:tcW w:w="357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OBJ-05. Ver si el usuario progresa.</w:t>
            </w:r>
          </w:p>
        </w:tc>
        <w:tc>
          <w:tcPr>
            <w:tcW w:w="549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Historial por ejercicio y evolución del 1RM estimado.</w:t>
            </w:r>
          </w:p>
        </w:tc>
      </w:tr>
    </w:tbl>
    <w:p>
      <w:pPr>
        <w:spacing w:after="0" w:line="240" w:lineRule="auto"/>
      </w:pPr>
    </w:p>
    <w:p>
      <w:pPr>
        <w:pStyle w:val="Heading1"/>
        <w:keepNext w:val="1"/>
        <w:spacing w:after="120" w:before="240" w:line="360" w:lineRule="auto"/>
      </w:pPr>
      <w:bookmarkStart w:id="11" w:name="_Toc00011"/>
      <w:r>
        <w:rPr>
          <w:rFonts w:ascii="Arial" w:cs="Arial" w:eastAsia="Arial" w:hAnsi="Arial"/>
          <w:b w:val="1"/>
          <w:bCs w:val="1"/>
          <w:i w:val="0"/>
          <w:iCs w:val="0"/>
          <w:sz w:val="28"/>
          <w:szCs w:val="28"/>
        </w:rPr>
        <w:t xml:space="preserve">5. Alcance y fuera de alcance</w:t>
      </w:r>
      <w:bookmarkEnd w:id="11"/>
    </w:p>
    <w:p>
      <w:pPr>
        <w:pStyle w:val="Heading2"/>
        <w:keepNext w:val="1"/>
        <w:spacing w:after="60" w:before="180" w:line="360" w:lineRule="auto"/>
      </w:pPr>
      <w:bookmarkStart w:id="12" w:name="_Toc00012"/>
      <w:r>
        <w:rPr>
          <w:rFonts w:ascii="Arial" w:cs="Arial" w:eastAsia="Arial" w:hAnsi="Arial"/>
          <w:b w:val="1"/>
          <w:bCs w:val="1"/>
          <w:i w:val="0"/>
          <w:iCs w:val="0"/>
          <w:sz w:val="24"/>
          <w:szCs w:val="24"/>
        </w:rPr>
        <w:t xml:space="preserve">5.1. Incluido en la primera versión</w:t>
      </w:r>
      <w:bookmarkEnd w:id="12"/>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Onboarding (nivel, objetivo y días por semana) y recomendación de plantilla.</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Catálogo de ejercicios disponible sin conexión.</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Plantillas de rutina y creador de rutinas.</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Registro del entrenamiento con temporizador de descanso.</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Motor de sugerencias con la explicación de cada sugerencia.</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Historial, evolución del 1RM estimado y récords personales.</w:t>
      </w:r>
    </w:p>
    <w:p>
      <w:pPr>
        <w:numPr>
          <w:ilvl w:val="0"/>
          <w:numId w:val="2"/>
        </w:numPr>
        <w:spacing w:line="360" w:lineRule="auto"/>
        <w:ind w:left="720" w:hanging="360"/>
        <w:jc w:val="both"/>
      </w:pPr>
      <w:r>
        <w:rPr>
          <w:rFonts w:ascii="Times New Roman" w:cs="Times New Roman" w:eastAsia="Times New Roman" w:hAnsi="Times New Roman"/>
          <w:b w:val="0"/>
          <w:bCs w:val="0"/>
          <w:i w:val="0"/>
          <w:iCs w:val="0"/>
          <w:sz w:val="24"/>
          <w:szCs w:val="24"/>
        </w:rPr>
        <w:t xml:space="preserve">Uso como invitado o con cuenta, y respaldo en la nube.</w:t>
      </w:r>
    </w:p>
    <w:p>
      <w:pPr>
        <w:pStyle w:val="Heading2"/>
        <w:keepNext w:val="1"/>
        <w:spacing w:after="60" w:before="180" w:line="360" w:lineRule="auto"/>
      </w:pPr>
      <w:bookmarkStart w:id="13" w:name="_Toc00013"/>
      <w:r>
        <w:rPr>
          <w:rFonts w:ascii="Arial" w:cs="Arial" w:eastAsia="Arial" w:hAnsi="Arial"/>
          <w:b w:val="1"/>
          <w:bCs w:val="1"/>
          <w:i w:val="0"/>
          <w:iCs w:val="0"/>
          <w:sz w:val="24"/>
          <w:szCs w:val="24"/>
        </w:rPr>
        <w:t xml:space="preserve">5.2. Fuera de alcance</w:t>
      </w:r>
      <w:bookmarkEnd w:id="13"/>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Nutrición y medidas corporales, parte social, chat con IA, wearables y sensores, videos de técnica, periodización avanzada, modo coach y alumno, cardio, superseries y sincronización con la app cerrada. Si hace falta recortar, se recortan primero las funciones secundarias. El motor de sugerencias no se recorta, porque es lo que diferencia a la app.</w:t>
      </w:r>
    </w:p>
    <w:p>
      <w:pPr>
        <w:pStyle w:val="Heading1"/>
        <w:keepNext w:val="1"/>
        <w:spacing w:after="120" w:before="240" w:line="360" w:lineRule="auto"/>
      </w:pPr>
      <w:bookmarkStart w:id="14" w:name="_Toc00014"/>
      <w:r>
        <w:rPr>
          <w:rFonts w:ascii="Arial" w:cs="Arial" w:eastAsia="Arial" w:hAnsi="Arial"/>
          <w:b w:val="1"/>
          <w:bCs w:val="1"/>
          <w:i w:val="0"/>
          <w:iCs w:val="0"/>
          <w:sz w:val="28"/>
          <w:szCs w:val="28"/>
        </w:rPr>
        <w:t xml:space="preserve">6. Requisitos funcionales</w:t>
      </w:r>
      <w:bookmarkEnd w:id="14"/>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Los cuatro requisitos principales agrupan el detalle de la especificación del proyecto (ver Anexo A).</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VI. Requisitos funcionales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710"/>
        <w:gridCol w:w="3471"/>
        <w:gridCol w:w="1735"/>
        <w:gridCol w:w="3155"/>
      </w:tblGrid>
      <w:tr>
        <w:trPr>
          <w:cantSplit w:val="1"/>
          <w:tblHeader w:val="1"/>
        </w:trPr>
        <w:tc>
          <w:tcPr>
            <w:tcW w:w="71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ID</w:t>
            </w:r>
          </w:p>
        </w:tc>
        <w:tc>
          <w:tcPr>
            <w:tcW w:w="3471"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Requisito</w:t>
            </w:r>
          </w:p>
        </w:tc>
        <w:tc>
          <w:tcPr>
            <w:tcW w:w="173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Usuario</w:t>
            </w:r>
          </w:p>
        </w:tc>
        <w:tc>
          <w:tcPr>
            <w:tcW w:w="315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Criterio de aceptación</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RF01</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Seleccionar o crear una rutina.</w:t>
            </w:r>
            <w:r>
              <w:rPr>
                <w:rFonts w:ascii="Times New Roman" w:cs="Times New Roman" w:eastAsia="Times New Roman" w:hAnsi="Times New Roman"/>
                <w:b w:val="0"/>
                <w:bCs w:val="0"/>
                <w:i w:val="0"/>
                <w:iCs w:val="0"/>
                <w:sz w:val="22"/>
                <w:szCs w:val="22"/>
              </w:rPr>
              <w:t xml:space="preserve"> El usuario adopta la plantilla recomendada según su onboarding, o crea una rutina con ejercicios del catálogo, series, rango de repeticiones y descanso. La rutina queda activa.</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Novato (plantilla) e intermedio o avanzado (rutina propia)</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 modo avión desde la instalación, el usuario adopta una plantilla o crea una rutina, y la rutina queda activa y visible en Inicio.</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RF02</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Registrar un entrenamiento.</w:t>
            </w:r>
            <w:r>
              <w:rPr>
                <w:rFonts w:ascii="Times New Roman" w:cs="Times New Roman" w:eastAsia="Times New Roman" w:hAnsi="Times New Roman"/>
                <w:b w:val="0"/>
                <w:bCs w:val="0"/>
                <w:i w:val="0"/>
                <w:iCs w:val="0"/>
                <w:sz w:val="22"/>
                <w:szCs w:val="22"/>
              </w:rPr>
              <w:t xml:space="preserve"> El usuario inicia el próximo día de su rutina. Cada serie aparece precargada con la sugerencia y se confirma con un toque o se ajusta. Incluye esfuerzo opcional y temporizador de descanso.</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(invitado o registrado)</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Una serie confirmada sin conexión sigue registrada después de cerrar la app de forma forzada y volver a abrirla.</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RF03</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Sugerir la carga de cada ejercicio.</w:t>
            </w:r>
            <w:r>
              <w:rPr>
                <w:rFonts w:ascii="Times New Roman" w:cs="Times New Roman" w:eastAsia="Times New Roman" w:hAnsi="Times New Roman"/>
                <w:b w:val="0"/>
                <w:bCs w:val="0"/>
                <w:i w:val="0"/>
                <w:iCs w:val="0"/>
                <w:sz w:val="22"/>
                <w:szCs w:val="22"/>
              </w:rPr>
              <w:t xml:space="preserve"> La app calcula peso y repeticiones a partir del historial (doble progresión, ajuste por esfuerzo, descarga y calibración) y muestra el motivo.</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y motor de sugerencias</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 3 × 8–12, incremento de 2,5 kg y última sesión de 60 kg × 12, 12, 12, la sugerencia es 62,5 kg × 8 y el motivo indica que se alcanzó el tope del rango. Funciona sin conexión.</w:t>
            </w:r>
          </w:p>
        </w:tc>
      </w:tr>
      <w:tr>
        <w:trPr>
          <w:cantSplit w:val="1"/>
        </w:trPr>
        <w:tc>
          <w:tcPr>
            <w:tcW w:w="7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RF04</w:t>
            </w:r>
          </w:p>
        </w:tc>
        <w:tc>
          <w:tcPr>
            <w:tcW w:w="347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Ver el progreso.</w:t>
            </w:r>
            <w:r>
              <w:rPr>
                <w:rFonts w:ascii="Times New Roman" w:cs="Times New Roman" w:eastAsia="Times New Roman" w:hAnsi="Times New Roman"/>
                <w:b w:val="0"/>
                <w:bCs w:val="0"/>
                <w:i w:val="0"/>
                <w:iCs w:val="0"/>
                <w:sz w:val="22"/>
                <w:szCs w:val="22"/>
              </w:rPr>
              <w:t xml:space="preserve"> El usuario consulta el historial de entrenamientos, la evolución del 1RM estimado por ejercicio y sus récords.</w:t>
            </w:r>
          </w:p>
        </w:tc>
        <w:tc>
          <w:tcPr>
            <w:tcW w:w="173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c>
          <w:tcPr>
            <w:tcW w:w="315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entrenamiento finalizado sin conexión aparece de inmediato en el historial y en el gráfico del ejercicio.</w:t>
            </w:r>
          </w:p>
        </w:tc>
      </w:tr>
    </w:tbl>
    <w:p>
      <w:pPr>
        <w:spacing w:after="0" w:line="240" w:lineRule="auto"/>
      </w:pPr>
    </w:p>
    <w:p>
      <w:pPr>
        <w:pStyle w:val="Heading1"/>
        <w:keepNext w:val="1"/>
        <w:spacing w:after="120" w:before="240" w:line="360" w:lineRule="auto"/>
      </w:pPr>
      <w:bookmarkStart w:id="15" w:name="_Toc00015"/>
      <w:r>
        <w:rPr>
          <w:rFonts w:ascii="Arial" w:cs="Arial" w:eastAsia="Arial" w:hAnsi="Arial"/>
          <w:b w:val="1"/>
          <w:bCs w:val="1"/>
          <w:i w:val="0"/>
          <w:iCs w:val="0"/>
          <w:sz w:val="28"/>
          <w:szCs w:val="28"/>
        </w:rPr>
        <w:t xml:space="preserve">7. Requisitos no funcionales</w:t>
      </w:r>
      <w:bookmarkEnd w:id="15"/>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VII. Requisitos no funcionales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99"/>
        <w:gridCol w:w="1581"/>
        <w:gridCol w:w="3995"/>
        <w:gridCol w:w="2496"/>
      </w:tblGrid>
      <w:tr>
        <w:trPr>
          <w:cantSplit w:val="1"/>
          <w:tblHeader w:val="1"/>
        </w:trPr>
        <w:tc>
          <w:tcPr>
            <w:tcW w:w="99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ID</w:t>
            </w:r>
          </w:p>
        </w:tc>
        <w:tc>
          <w:tcPr>
            <w:tcW w:w="1581"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Tipo</w:t>
            </w:r>
          </w:p>
        </w:tc>
        <w:tc>
          <w:tcPr>
            <w:tcW w:w="3995"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Requisito</w:t>
            </w:r>
          </w:p>
        </w:tc>
        <w:tc>
          <w:tcPr>
            <w:tcW w:w="2496"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Verificación</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RNF01</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Disponibilidad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Ninguna acción de rutinas, entrenamiento, sugerencias ni progreso requiere conexión.</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Recorrido completo en modo avión.</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RNF02</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Tolerancia a fallos</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Una serie confirmada persiste aunque se cierre el proceso inmediatamente después.</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Forzar el cierre desde Android y reabrir.</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RNF03</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Rendimiento</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Confirmar una serie da respuesta visual en menos de 100 ms, con o sin conexión.</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Medición en un dispositivo de gama media.</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RNF04</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Usabilidad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La sincronización nunca bloquea la interfaz ni muestra diálogos durante un entrenamiento.</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Cortar la red durante un entrenamiento.</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RNF05</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Accesibilidad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Blancos táctiles de al menos 48 × 48 dp (56 dp en las acciones principales) y contraste de texto de al menos 4,5:1.</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Revisión en Figma y verificador de contraste.</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RNF06</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Seguridad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usuario no puede leer ni modificar datos de otro. Todas las tablas de usuario tienen RLS.</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Test automatizado con dos usuarios.</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RNF07</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Batería</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temporizador usa una notificación programada, sin procesos en segundo plano. La pantalla queda encendida solo durante el entrenamiento.</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Revisión de código y prueba de 30 minutos en segundo plano.</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RNF08</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Mantenibilidad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La capa de dominio no importa SDKs externos y el motor se prueba sin red ni base de datos.</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Regla de lint de imports y tests en CI.</w:t>
            </w:r>
          </w:p>
        </w:tc>
      </w:tr>
      <w:tr>
        <w:trPr>
          <w:cantSplit w:val="1"/>
        </w:trPr>
        <w:tc>
          <w:tcPr>
            <w:tcW w:w="9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RNF09</w:t>
            </w:r>
          </w:p>
        </w:tc>
        <w:tc>
          <w:tcPr>
            <w:tcW w:w="1581"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Compatibilidad</w:t>
            </w:r>
          </w:p>
        </w:tc>
        <w:tc>
          <w:tcPr>
            <w:tcW w:w="3995"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Funciona en Android 7.0 (API 24) o superior.</w:t>
            </w:r>
          </w:p>
        </w:tc>
        <w:tc>
          <w:tcPr>
            <w:tcW w:w="2496"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Pruebas en emulador y dispositivo con Android 10 o superior.</w:t>
            </w:r>
          </w:p>
        </w:tc>
      </w:tr>
    </w:tbl>
    <w:p>
      <w:pPr>
        <w:spacing w:after="0" w:line="240" w:lineRule="auto"/>
      </w:pPr>
    </w:p>
    <w:p>
      <w:pPr>
        <w:pStyle w:val="Heading1"/>
        <w:keepNext w:val="1"/>
        <w:spacing w:after="120" w:before="240" w:line="360" w:lineRule="auto"/>
      </w:pPr>
      <w:bookmarkStart w:id="16" w:name="_Toc00016"/>
      <w:r>
        <w:rPr>
          <w:rFonts w:ascii="Arial" w:cs="Arial" w:eastAsia="Arial" w:hAnsi="Arial"/>
          <w:b w:val="1"/>
          <w:bCs w:val="1"/>
          <w:i w:val="0"/>
          <w:iCs w:val="0"/>
          <w:sz w:val="28"/>
          <w:szCs w:val="28"/>
        </w:rPr>
        <w:t xml:space="preserve">8. Diseño de experiencia (UI, UX y CX)</w:t>
      </w:r>
      <w:bookmarkEnd w:id="16"/>
    </w:p>
    <w:p>
      <w:pPr>
        <w:spacing w:after="0" w:line="360" w:lineRule="auto"/>
        <w:ind w:firstLine="708"/>
      </w:pPr>
      <w:r>
        <w:rPr>
          <w:rFonts w:ascii="Times New Roman" w:cs="Times New Roman" w:eastAsia="Times New Roman" w:hAnsi="Times New Roman"/>
          <w:b w:val="1"/>
          <w:bCs w:val="1"/>
          <w:i w:val="0"/>
          <w:iCs w:val="0"/>
          <w:sz w:val="24"/>
          <w:szCs w:val="24"/>
        </w:rPr>
        <w:t xml:space="preserve">Prototipo en Figma: </w:t>
      </w:r>
      <w:hyperlink r:id="rIdFigma">
        <w:r>
          <w:rPr>
            <w:rFonts w:ascii="Times New Roman" w:cs="Times New Roman" w:eastAsia="Times New Roman" w:hAnsi="Times New Roman"/>
            <w:color w:val="1155CC"/>
            <w:sz w:val="24"/>
            <w:szCs w:val="24"/>
            <w:u w:val="single"/>
          </w:rPr>
          <w:t xml:space="preserve">OneRM, prototipo</w:t>
        </w:r>
      </w:hyperlink>
    </w:p>
    <w:p>
      <w:pPr>
        <w:pStyle w:val="Heading2"/>
        <w:keepNext w:val="1"/>
        <w:spacing w:after="60" w:before="180" w:line="360" w:lineRule="auto"/>
      </w:pPr>
      <w:bookmarkStart w:id="17" w:name="_Toc00017"/>
      <w:r>
        <w:rPr>
          <w:rFonts w:ascii="Arial" w:cs="Arial" w:eastAsia="Arial" w:hAnsi="Arial"/>
          <w:b w:val="1"/>
          <w:bCs w:val="1"/>
          <w:i w:val="0"/>
          <w:iCs w:val="0"/>
          <w:sz w:val="24"/>
          <w:szCs w:val="24"/>
        </w:rPr>
        <w:t xml:space="preserve">8.1. Principios de experiencia</w:t>
      </w:r>
      <w:bookmarkEnd w:id="17"/>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Los principios surgen del contexto de uso descripto en la sección 2.</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VIII. Principios de experiencia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5183"/>
        <w:gridCol w:w="3888"/>
      </w:tblGrid>
      <w:tr>
        <w:trPr>
          <w:cantSplit w:val="1"/>
          <w:tblHeader w:val="1"/>
        </w:trPr>
        <w:tc>
          <w:tcPr>
            <w:tcW w:w="5183"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Principio</w:t>
            </w:r>
          </w:p>
        </w:tc>
        <w:tc>
          <w:tcPr>
            <w:tcW w:w="388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Motivo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 toque para el caso común (confirmar una serie sugerida).</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Entre series hay poca atención y una mano libre.</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Acción principal en la mitad inferior de la pantalla de entrenamiento.</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Uso con el pulgar de una mano.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Nada interrumpe el entrenamiento: sin modales de red ni de sincronización.</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Contexto de uso.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Toda sugerencia tiene un “¿Por qué?”.</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Confianza y aprendizaje del novato.</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Lenguaje llano, sin jerga técnica.</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principal.</w:t>
            </w:r>
          </w:p>
        </w:tc>
      </w:tr>
      <w:tr>
        <w:trPr>
          <w:cantSplit w:val="1"/>
        </w:trPr>
        <w:tc>
          <w:tcPr>
            <w:tcW w:w="5183"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Acciones destructivas con confirmación o “Deshacer”.</w:t>
            </w:r>
          </w:p>
        </w:tc>
        <w:tc>
          <w:tcPr>
            <w:tcW w:w="388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Prevención y recuperación de errores.</w:t>
            </w:r>
          </w:p>
        </w:tc>
      </w:tr>
    </w:tbl>
    <w:p>
      <w:pPr>
        <w:spacing w:after="0" w:line="240" w:lineRule="auto"/>
      </w:pPr>
    </w:p>
    <w:p>
      <w:pPr>
        <w:pStyle w:val="Heading2"/>
        <w:keepNext w:val="1"/>
        <w:spacing w:after="60" w:before="180" w:line="360" w:lineRule="auto"/>
      </w:pPr>
      <w:bookmarkStart w:id="18" w:name="_Toc00018"/>
      <w:r>
        <w:rPr>
          <w:rFonts w:ascii="Arial" w:cs="Arial" w:eastAsia="Arial" w:hAnsi="Arial"/>
          <w:b w:val="1"/>
          <w:bCs w:val="1"/>
          <w:i w:val="0"/>
          <w:iCs w:val="0"/>
          <w:sz w:val="24"/>
          <w:szCs w:val="24"/>
        </w:rPr>
        <w:t xml:space="preserve">8.2. Pantallas principales</w:t>
      </w:r>
      <w:bookmarkEnd w:id="18"/>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La Figura 1 muestra las pantallas del recorrido principal: Inicio con el próximo día, la serie precargada con su sugerencia, la explicación de la sugerencia, las rutinas, el progreso de un ejercicio y el resumen al finalizar.</w:t>
      </w:r>
    </w:p>
    <w:tbl>
      <w:tblPr>
        <w:tblW w:w="9069" w:type="dxa"/>
        <w:jc w:val="center"/>
        <w:tblBorders>
          <w:top w:val="nil"/>
          <w:left w:val="nil"/>
          <w:bottom w:val="nil"/>
          <w:right w:val="nil"/>
          <w:insideH w:val="nil"/>
          <w:insideV w:val="nil"/>
        </w:tblBorders>
        <w:tblLayout w:type="fixed"/>
        <w:tblLook w:val="0000"/>
      </w:tblPr>
      <w:tblGrid>
        <w:gridCol w:w="3023"/>
        <w:gridCol w:w="3023"/>
        <w:gridCol w:w="3023"/>
      </w:tblGrid>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01" name="fig1.png"/>
                  <a:graphic>
                    <a:graphicData uri="http://schemas.openxmlformats.org/drawingml/2006/picture">
                      <pic:pic>
                        <pic:nvPicPr>
                          <pic:cNvPr id="101" name="fig1.png"/>
                          <pic:cNvPicPr/>
                        </pic:nvPicPr>
                        <pic:blipFill>
                          <a:blip r:embed="rIdImg1"/>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Inicio: próximo día</w:t>
            </w:r>
          </w:p>
        </w:tc>
        <w:tc>
          <w:tcPr>
            <w:tcW w:w="3023" w:type="dxa"/>
            <w:vAlign w:val="top"/>
          </w:tcPr>
          <w:p>
            <w:pPr>
              <w:spacing w:before="120" w:after="40" w:line="240" w:lineRule="auto"/>
              <w:jc w:val="center"/>
            </w:pPr>
            <w:r>
              <w:drawing>
                <wp:inline distT="0" distB="0" distL="0" distR="0">
                  <wp:extent cx="1584000" cy="3427938"/>
                  <wp:effectExtent l="0" t="0" r="0" b="0"/>
                  <wp:docPr id="102" name="fig2.png"/>
                  <a:graphic>
                    <a:graphicData uri="http://schemas.openxmlformats.org/drawingml/2006/picture">
                      <pic:pic>
                        <pic:nvPicPr>
                          <pic:cNvPr id="102" name="fig2.png"/>
                          <pic:cNvPicPr/>
                        </pic:nvPicPr>
                        <pic:blipFill>
                          <a:blip r:embed="rIdImg2"/>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Entrenamiento: primera serie</w:t>
            </w:r>
          </w:p>
        </w:tc>
        <w:tc>
          <w:tcPr>
            <w:tcW w:w="3023" w:type="dxa"/>
            <w:vAlign w:val="top"/>
          </w:tcPr>
          <w:p>
            <w:pPr>
              <w:spacing w:before="120" w:after="40" w:line="240" w:lineRule="auto"/>
              <w:jc w:val="center"/>
            </w:pPr>
            <w:r>
              <w:drawing>
                <wp:inline distT="0" distB="0" distL="0" distR="0">
                  <wp:extent cx="1584000" cy="3427938"/>
                  <wp:effectExtent l="0" t="0" r="0" b="0"/>
                  <wp:docPr id="103" name="fig3.png"/>
                  <a:graphic>
                    <a:graphicData uri="http://schemas.openxmlformats.org/drawingml/2006/picture">
                      <pic:pic>
                        <pic:nvPicPr>
                          <pic:cNvPr id="103" name="fig3.png"/>
                          <pic:cNvPicPr/>
                        </pic:nvPicPr>
                        <pic:blipFill>
                          <a:blip r:embed="rIdImg3"/>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¿Por qué esta sugerencia?</w:t>
            </w:r>
          </w:p>
        </w:tc>
      </w:tr>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04" name="fig4.png"/>
                  <a:graphic>
                    <a:graphicData uri="http://schemas.openxmlformats.org/drawingml/2006/picture">
                      <pic:pic>
                        <pic:nvPicPr>
                          <pic:cNvPr id="104" name="fig4.png"/>
                          <pic:cNvPicPr/>
                        </pic:nvPicPr>
                        <pic:blipFill>
                          <a:blip r:embed="rIdImg4"/>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Mis rutinas</w:t>
            </w:r>
          </w:p>
        </w:tc>
        <w:tc>
          <w:tcPr>
            <w:tcW w:w="3023" w:type="dxa"/>
            <w:vAlign w:val="top"/>
          </w:tcPr>
          <w:p>
            <w:pPr>
              <w:spacing w:before="120" w:after="40" w:line="240" w:lineRule="auto"/>
              <w:jc w:val="center"/>
            </w:pPr>
            <w:r>
              <w:drawing>
                <wp:inline distT="0" distB="0" distL="0" distR="0">
                  <wp:extent cx="1584000" cy="3427938"/>
                  <wp:effectExtent l="0" t="0" r="0" b="0"/>
                  <wp:docPr id="105" name="fig5.png"/>
                  <a:graphic>
                    <a:graphicData uri="http://schemas.openxmlformats.org/drawingml/2006/picture">
                      <pic:pic>
                        <pic:nvPicPr>
                          <pic:cNvPr id="105" name="fig5.png"/>
                          <pic:cNvPicPr/>
                        </pic:nvPicPr>
                        <pic:blipFill>
                          <a:blip r:embed="rIdImg5"/>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Progreso de un ejercicio</w:t>
            </w:r>
          </w:p>
        </w:tc>
        <w:tc>
          <w:tcPr>
            <w:tcW w:w="3023" w:type="dxa"/>
            <w:vAlign w:val="top"/>
          </w:tcPr>
          <w:p>
            <w:pPr>
              <w:spacing w:before="120" w:after="40" w:line="240" w:lineRule="auto"/>
              <w:jc w:val="center"/>
            </w:pPr>
            <w:r>
              <w:drawing>
                <wp:inline distT="0" distB="0" distL="0" distR="0">
                  <wp:extent cx="1584000" cy="3427938"/>
                  <wp:effectExtent l="0" t="0" r="0" b="0"/>
                  <wp:docPr id="106" name="fig6.png"/>
                  <a:graphic>
                    <a:graphicData uri="http://schemas.openxmlformats.org/drawingml/2006/picture">
                      <pic:pic>
                        <pic:nvPicPr>
                          <pic:cNvPr id="106" name="fig6.png"/>
                          <pic:cNvPicPr/>
                        </pic:nvPicPr>
                        <pic:blipFill>
                          <a:blip r:embed="rIdImg6"/>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Resumen con récords</w:t>
            </w:r>
          </w:p>
        </w:tc>
      </w:tr>
    </w:tbl>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1. Pantallas principales del prototipo</w:t>
      </w:r>
    </w:p>
    <w:p>
      <w:pPr>
        <w:pStyle w:val="Heading2"/>
        <w:keepNext w:val="1"/>
        <w:spacing w:after="60" w:before="180" w:line="360" w:lineRule="auto"/>
      </w:pPr>
      <w:bookmarkStart w:id="19" w:name="_Toc00019"/>
      <w:r>
        <w:rPr>
          <w:rFonts w:ascii="Arial" w:cs="Arial" w:eastAsia="Arial" w:hAnsi="Arial"/>
          <w:b w:val="1"/>
          <w:bCs w:val="1"/>
          <w:i w:val="0"/>
          <w:iCs w:val="0"/>
          <w:sz w:val="24"/>
          <w:szCs w:val="24"/>
        </w:rPr>
        <w:t xml:space="preserve">8.3. Estados de pantalla</w:t>
      </w:r>
      <w:bookmarkEnd w:id="19"/>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Cada pantalla con datos contempla los estados de carga, contenido, vacío, error y sin conexión. La Tabla y la Figura siguientes lo muestran con el historial de entrenamientos; el estado sin conexión se ilustra con el resumen de un entrenamiento finalizado sin red.</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IX. Estados de la pantalla de historial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99"/>
        <w:gridCol w:w="6872"/>
      </w:tblGrid>
      <w:tr>
        <w:trPr>
          <w:cantSplit w:val="1"/>
          <w:tblHeader w:val="1"/>
        </w:trPr>
        <w:tc>
          <w:tcPr>
            <w:tcW w:w="219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Estado</w:t>
            </w:r>
          </w:p>
        </w:tc>
        <w:tc>
          <w:tcPr>
            <w:tcW w:w="6872"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Qué ve el usuario</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Carga</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Esqueleto de la lista.</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Contenido</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Lista de entrenamientos con fecha, día y volumen.</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Vacío</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Mensaje y acceso directo a empezar el primer entrenamiento.</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Error</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Mensaje de error y botón “Reintentar”.</w:t>
            </w:r>
          </w:p>
        </w:tc>
      </w:tr>
      <w:tr>
        <w:trPr>
          <w:cantSplit w:val="1"/>
        </w:trPr>
        <w:tc>
          <w:tcPr>
            <w:tcW w:w="219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Sin conexión</w:t>
            </w:r>
          </w:p>
        </w:tc>
        <w:tc>
          <w:tcPr>
            <w:tcW w:w="687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contenido local se muestra igual, con un aviso discreto de cambios sin respaldar.</w:t>
            </w:r>
          </w:p>
        </w:tc>
      </w:tr>
    </w:tbl>
    <w:p>
      <w:pPr>
        <w:spacing w:after="0" w:line="240" w:lineRule="auto"/>
      </w:pPr>
    </w:p>
    <w:tbl>
      <w:tblPr>
        <w:tblW w:w="9069" w:type="dxa"/>
        <w:jc w:val="center"/>
        <w:tblBorders>
          <w:top w:val="nil"/>
          <w:left w:val="nil"/>
          <w:bottom w:val="nil"/>
          <w:right w:val="nil"/>
          <w:insideH w:val="nil"/>
          <w:insideV w:val="nil"/>
        </w:tblBorders>
        <w:tblLayout w:type="fixed"/>
        <w:tblLook w:val="0000"/>
      </w:tblPr>
      <w:tblGrid>
        <w:gridCol w:w="3023"/>
        <w:gridCol w:w="3023"/>
        <w:gridCol w:w="3023"/>
      </w:tblGrid>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07" name="fig7.png"/>
                  <a:graphic>
                    <a:graphicData uri="http://schemas.openxmlformats.org/drawingml/2006/picture">
                      <pic:pic>
                        <pic:nvPicPr>
                          <pic:cNvPr id="107" name="fig7.png"/>
                          <pic:cNvPicPr/>
                        </pic:nvPicPr>
                        <pic:blipFill>
                          <a:blip r:embed="rIdImg7"/>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Carga</w:t>
            </w:r>
          </w:p>
        </w:tc>
        <w:tc>
          <w:tcPr>
            <w:tcW w:w="3023" w:type="dxa"/>
            <w:vAlign w:val="top"/>
          </w:tcPr>
          <w:p>
            <w:pPr>
              <w:spacing w:before="120" w:after="40" w:line="240" w:lineRule="auto"/>
              <w:jc w:val="center"/>
            </w:pPr>
            <w:r>
              <w:drawing>
                <wp:inline distT="0" distB="0" distL="0" distR="0">
                  <wp:extent cx="1584000" cy="3427938"/>
                  <wp:effectExtent l="0" t="0" r="0" b="0"/>
                  <wp:docPr id="108" name="fig8.png"/>
                  <a:graphic>
                    <a:graphicData uri="http://schemas.openxmlformats.org/drawingml/2006/picture">
                      <pic:pic>
                        <pic:nvPicPr>
                          <pic:cNvPr id="108" name="fig8.png"/>
                          <pic:cNvPicPr/>
                        </pic:nvPicPr>
                        <pic:blipFill>
                          <a:blip r:embed="rIdImg8"/>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Contenido</w:t>
            </w:r>
          </w:p>
        </w:tc>
        <w:tc>
          <w:tcPr>
            <w:tcW w:w="3023" w:type="dxa"/>
            <w:vAlign w:val="top"/>
          </w:tcPr>
          <w:p>
            <w:pPr>
              <w:spacing w:before="120" w:after="40" w:line="240" w:lineRule="auto"/>
              <w:jc w:val="center"/>
            </w:pPr>
            <w:r>
              <w:drawing>
                <wp:inline distT="0" distB="0" distL="0" distR="0">
                  <wp:extent cx="1584000" cy="3427938"/>
                  <wp:effectExtent l="0" t="0" r="0" b="0"/>
                  <wp:docPr id="109" name="fig9.png"/>
                  <a:graphic>
                    <a:graphicData uri="http://schemas.openxmlformats.org/drawingml/2006/picture">
                      <pic:pic>
                        <pic:nvPicPr>
                          <pic:cNvPr id="109" name="fig9.png"/>
                          <pic:cNvPicPr/>
                        </pic:nvPicPr>
                        <pic:blipFill>
                          <a:blip r:embed="rIdImg9"/>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Vacío</w:t>
            </w:r>
          </w:p>
        </w:tc>
      </w:tr>
      <w:tr>
        <w:trPr>
          <w:cantSplit w:val="1"/>
        </w:trPr>
        <w:tc>
          <w:tcPr>
            <w:tcW w:w="3023" w:type="dxa"/>
            <w:vAlign w:val="top"/>
          </w:tcPr>
          <w:p>
            <w:pPr>
              <w:spacing w:before="120" w:after="40" w:line="240" w:lineRule="auto"/>
              <w:jc w:val="center"/>
            </w:pPr>
            <w:r>
              <w:drawing>
                <wp:inline distT="0" distB="0" distL="0" distR="0">
                  <wp:extent cx="1584000" cy="3427938"/>
                  <wp:effectExtent l="0" t="0" r="0" b="0"/>
                  <wp:docPr id="110" name="fig10.png"/>
                  <a:graphic>
                    <a:graphicData uri="http://schemas.openxmlformats.org/drawingml/2006/picture">
                      <pic:pic>
                        <pic:nvPicPr>
                          <pic:cNvPr id="110" name="fig10.png"/>
                          <pic:cNvPicPr/>
                        </pic:nvPicPr>
                        <pic:blipFill>
                          <a:blip r:embed="rIdImg10"/>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Error</w:t>
            </w:r>
          </w:p>
        </w:tc>
        <w:tc>
          <w:tcPr>
            <w:tcW w:w="3023" w:type="dxa"/>
            <w:vAlign w:val="top"/>
          </w:tcPr>
          <w:p>
            <w:pPr>
              <w:spacing w:before="120" w:after="40" w:line="240" w:lineRule="auto"/>
              <w:jc w:val="center"/>
            </w:pPr>
            <w:r>
              <w:drawing>
                <wp:inline distT="0" distB="0" distL="0" distR="0">
                  <wp:extent cx="1584000" cy="3427938"/>
                  <wp:effectExtent l="0" t="0" r="0" b="0"/>
                  <wp:docPr id="111" name="fig11.png"/>
                  <a:graphic>
                    <a:graphicData uri="http://schemas.openxmlformats.org/drawingml/2006/picture">
                      <pic:pic>
                        <pic:nvPicPr>
                          <pic:cNvPr id="111" name="fig11.png"/>
                          <pic:cNvPicPr/>
                        </pic:nvPicPr>
                        <pic:blipFill>
                          <a:blip r:embed="rIdImg11"/>
                          <a:stretch>
                            <a:fillRect/>
                          </a:stretch>
                        </pic:blipFill>
                        <pic:spPr>
                          <a:xfrm>
                            <a:off x="0" y="0"/>
                            <a:ext cx="1584000" cy="3427938"/>
                          </a:xfrm>
                          <a:prstGeom prst="rect">
                            <a:avLst/>
                          </a:prstGeom>
                        </pic:spPr>
                      </pic:pic>
                    </a:graphicData>
                  </a:graphic>
                </wp:inline>
              </w:drawing>
            </w:r>
          </w:p>
          <w:p>
            <w:pPr>
              <w:spacing w:after="120" w:line="240" w:lineRule="auto"/>
              <w:jc w:val="center"/>
            </w:pPr>
            <w:r>
              <w:rPr>
                <w:rFonts w:ascii="Times New Roman" w:cs="Times New Roman" w:eastAsia="Times New Roman" w:hAnsi="Times New Roman"/>
                <w:b w:val="0"/>
                <w:bCs w:val="0"/>
                <w:i w:val="1"/>
                <w:iCs w:val="1"/>
                <w:color w:val="595959"/>
                <w:sz w:val="18"/>
                <w:szCs w:val="18"/>
              </w:rPr>
              <w:t xml:space="preserve">Sin conexión</w:t>
            </w:r>
          </w:p>
        </w:tc>
        <w:tc>
          <w:tcPr>
            <w:tcW w:w="3023" w:type="dxa"/>
            <w:vAlign w:val="top"/>
          </w:tcPr>
          <w:p/>
        </w:tc>
      </w:tr>
    </w:tbl>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2. Estados de pantalla</w:t>
      </w:r>
    </w:p>
    <w:p>
      <w:pPr>
        <w:pStyle w:val="Heading1"/>
        <w:keepNext w:val="1"/>
        <w:spacing w:after="120" w:before="240" w:line="360" w:lineRule="auto"/>
      </w:pPr>
      <w:bookmarkStart w:id="20" w:name="_Toc00020"/>
      <w:r>
        <w:rPr>
          <w:rFonts w:ascii="Arial" w:cs="Arial" w:eastAsia="Arial" w:hAnsi="Arial"/>
          <w:b w:val="1"/>
          <w:bCs w:val="1"/>
          <w:i w:val="0"/>
          <w:iCs w:val="0"/>
          <w:sz w:val="28"/>
          <w:szCs w:val="28"/>
        </w:rPr>
        <w:t xml:space="preserve">9. Flujo de pantallas</w:t>
      </w:r>
      <w:bookmarkEnd w:id="20"/>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Caso de uso principal: registrar un entrenamiento. El usuario entra a Inicio, ve el próximo día y lo inicia. En cada ejercicio, si no hay historial, la app pide una serie de calibración; si lo hay, precarga la sugerencia. Cada serie confirmada se guarda en el dispositivo y arranca el descanso. Al terminar los ejercicios, el usuario finaliza y ve el resumen con sus récords. También puede saltear o sustituir un ejercicio, o descartar el entrenamiento con confirmación.</w:t>
      </w:r>
    </w:p>
    <w:p>
      <w:pPr>
        <w:keepNext w:val="1"/>
        <w:spacing w:before="240" w:after="0" w:line="240" w:lineRule="auto"/>
        <w:jc w:val="center"/>
      </w:pPr>
      <w:r>
        <w:drawing>
          <wp:inline distT="0" distB="0" distL="0" distR="0">
            <wp:extent cx="2925130" cy="7200000"/>
            <wp:effectExtent l="0" t="0" r="0" b="0"/>
            <wp:docPr id="112" name="fig12.png"/>
            <a:graphic>
              <a:graphicData uri="http://schemas.openxmlformats.org/drawingml/2006/picture">
                <pic:pic>
                  <pic:nvPicPr>
                    <pic:cNvPr id="112" name="fig12.png"/>
                    <pic:cNvPicPr/>
                  </pic:nvPicPr>
                  <pic:blipFill>
                    <a:blip r:embed="rIdImg12"/>
                    <a:stretch>
                      <a:fillRect/>
                    </a:stretch>
                  </pic:blipFill>
                  <pic:spPr>
                    <a:xfrm>
                      <a:off x="0" y="0"/>
                      <a:ext cx="2925130" cy="7200000"/>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3. Flujo del caso de uso principal: registrar un entrenamiento</w:t>
      </w:r>
    </w:p>
    <w:p>
      <w:pPr>
        <w:pStyle w:val="Heading1"/>
        <w:keepNext w:val="1"/>
        <w:spacing w:after="120" w:before="240" w:line="360" w:lineRule="auto"/>
      </w:pPr>
      <w:bookmarkStart w:id="21" w:name="_Toc00021"/>
      <w:r>
        <w:rPr>
          <w:rFonts w:ascii="Arial" w:cs="Arial" w:eastAsia="Arial" w:hAnsi="Arial"/>
          <w:b w:val="1"/>
          <w:bCs w:val="1"/>
          <w:i w:val="0"/>
          <w:iCs w:val="0"/>
          <w:sz w:val="28"/>
          <w:szCs w:val="28"/>
        </w:rPr>
        <w:t xml:space="preserve">10. Arquitectura</w:t>
      </w:r>
      <w:bookmarkEnd w:id="21"/>
    </w:p>
    <w:p>
      <w:pPr>
        <w:pStyle w:val="Heading2"/>
        <w:keepNext w:val="1"/>
        <w:spacing w:after="60" w:before="180" w:line="360" w:lineRule="auto"/>
      </w:pPr>
      <w:bookmarkStart w:id="22" w:name="_Toc00022"/>
      <w:r>
        <w:rPr>
          <w:rFonts w:ascii="Arial" w:cs="Arial" w:eastAsia="Arial" w:hAnsi="Arial"/>
          <w:b w:val="1"/>
          <w:bCs w:val="1"/>
          <w:i w:val="0"/>
          <w:iCs w:val="0"/>
          <w:sz w:val="24"/>
          <w:szCs w:val="24"/>
        </w:rPr>
        <w:t xml:space="preserve">10.1. Capas y responsabilidades</w:t>
      </w:r>
      <w:bookmarkEnd w:id="22"/>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Se aplica MVVM con principios de Clean Architecture. Las dependencias apuntan hacia el dominio, y una regla de lint en CI lo verifica. En React Native, el rol de ViewModel lo cumple un hook por pantalla que expone estado y acciones, separado de los componentes visuales.</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 Capas de la arquitectura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770"/>
        <w:gridCol w:w="5752"/>
        <w:gridCol w:w="1549"/>
      </w:tblGrid>
      <w:tr>
        <w:trPr>
          <w:cantSplit w:val="1"/>
          <w:tblHeader w:val="1"/>
        </w:trPr>
        <w:tc>
          <w:tcPr>
            <w:tcW w:w="177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Capa</w:t>
            </w:r>
          </w:p>
        </w:tc>
        <w:tc>
          <w:tcPr>
            <w:tcW w:w="5752"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Contiene</w:t>
            </w:r>
          </w:p>
        </w:tc>
        <w:tc>
          <w:tcPr>
            <w:tcW w:w="154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Depende de</w:t>
            </w:r>
          </w:p>
        </w:tc>
      </w:tr>
      <w:tr>
        <w:trPr>
          <w:cantSplit w:val="1"/>
        </w:trPr>
        <w:tc>
          <w:tcPr>
            <w:tcW w:w="177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Presentación</w:t>
            </w:r>
          </w:p>
        </w:tc>
        <w:tc>
          <w:tcPr>
            <w:tcW w:w="57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Pantallas (Expo Router), componentes y ViewModels con estado explícito: carga, contenido, vacío o error.</w:t>
            </w:r>
          </w:p>
        </w:tc>
        <w:tc>
          <w:tcPr>
            <w:tcW w:w="15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Dominio</w:t>
            </w:r>
          </w:p>
        </w:tc>
      </w:tr>
      <w:tr>
        <w:trPr>
          <w:cantSplit w:val="1"/>
        </w:trPr>
        <w:tc>
          <w:tcPr>
            <w:tcW w:w="177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Dominio</w:t>
            </w:r>
          </w:p>
        </w:tc>
        <w:tc>
          <w:tcPr>
            <w:tcW w:w="57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Modelos, reglas (motor de sugerencias, próximo día, 1RM estimado), casos de uso e interfaces de repositorios. TypeScript puro.</w:t>
            </w:r>
          </w:p>
        </w:tc>
        <w:tc>
          <w:tcPr>
            <w:tcW w:w="15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Nada</w:t>
            </w:r>
          </w:p>
        </w:tc>
      </w:tr>
      <w:tr>
        <w:trPr>
          <w:cantSplit w:val="1"/>
        </w:trPr>
        <w:tc>
          <w:tcPr>
            <w:tcW w:w="177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Datos</w:t>
            </w:r>
          </w:p>
        </w:tc>
        <w:tc>
          <w:tcPr>
            <w:tcW w:w="57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Repositorios, fuente local (SQLite con Drizzle), fuente remota (Supabase), mappers y motor de sincronización.</w:t>
            </w:r>
          </w:p>
        </w:tc>
        <w:tc>
          <w:tcPr>
            <w:tcW w:w="154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Dominio</w:t>
            </w:r>
          </w:p>
        </w:tc>
      </w:tr>
    </w:tbl>
    <w:p>
      <w:pPr>
        <w:spacing w:after="0" w:line="240" w:lineRule="auto"/>
      </w:pP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motor de sugerencias es una función pura del dominio: no conoce la base de datos ni la interfaz, así que se prueba con tablas de casos y funciona sin red.</w:t>
      </w:r>
    </w:p>
    <w:p>
      <w:pPr>
        <w:pStyle w:val="Heading2"/>
        <w:keepNext w:val="1"/>
        <w:spacing w:after="60" w:before="180" w:line="360" w:lineRule="auto"/>
      </w:pPr>
      <w:bookmarkStart w:id="23" w:name="_Toc00023"/>
      <w:r>
        <w:rPr>
          <w:rFonts w:ascii="Arial" w:cs="Arial" w:eastAsia="Arial" w:hAnsi="Arial"/>
          <w:b w:val="1"/>
          <w:bCs w:val="1"/>
          <w:i w:val="0"/>
          <w:iCs w:val="0"/>
          <w:sz w:val="24"/>
          <w:szCs w:val="24"/>
        </w:rPr>
        <w:t xml:space="preserve">10.2. Flujo de datos</w:t>
      </w:r>
      <w:bookmarkEnd w:id="23"/>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Ejemplo: confirmar una serie. La UI llama al ViewModel, que ejecuta el caso de uso. El caso de uso valida y pide al repositorio que guarde. El repositorio escribe en SQLite y marca el registro como pendiente. La UI se actualiza porque observa la base local, sin esperar a la red. La sincronización corre aparte y sube los cambios a Supabase.</w:t>
      </w:r>
    </w:p>
    <w:p>
      <w:pPr>
        <w:keepNext w:val="1"/>
        <w:spacing w:before="240" w:after="0" w:line="240" w:lineRule="auto"/>
        <w:jc w:val="center"/>
      </w:pPr>
      <w:r>
        <w:drawing>
          <wp:inline distT="0" distB="0" distL="0" distR="0">
            <wp:extent cx="4289777" cy="6840000"/>
            <wp:effectExtent l="0" t="0" r="0" b="0"/>
            <wp:docPr id="113" name="fig13.png"/>
            <a:graphic>
              <a:graphicData uri="http://schemas.openxmlformats.org/drawingml/2006/picture">
                <pic:pic>
                  <pic:nvPicPr>
                    <pic:cNvPr id="113" name="fig13.png"/>
                    <pic:cNvPicPr/>
                  </pic:nvPicPr>
                  <pic:blipFill>
                    <a:blip r:embed="rIdImg13"/>
                    <a:stretch>
                      <a:fillRect/>
                    </a:stretch>
                  </pic:blipFill>
                  <pic:spPr>
                    <a:xfrm>
                      <a:off x="0" y="0"/>
                      <a:ext cx="4289777" cy="6840000"/>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4. Flujo de datos al confirmar una serie</w:t>
      </w:r>
    </w:p>
    <w:p>
      <w:pPr>
        <w:pStyle w:val="Heading2"/>
        <w:keepNext w:val="1"/>
        <w:spacing w:after="60" w:before="180" w:line="360" w:lineRule="auto"/>
      </w:pPr>
      <w:bookmarkStart w:id="24" w:name="_Toc00024"/>
      <w:r>
        <w:rPr>
          <w:rFonts w:ascii="Arial" w:cs="Arial" w:eastAsia="Arial" w:hAnsi="Arial"/>
          <w:b w:val="1"/>
          <w:bCs w:val="1"/>
          <w:i w:val="0"/>
          <w:iCs w:val="0"/>
          <w:sz w:val="24"/>
          <w:szCs w:val="24"/>
        </w:rPr>
        <w:t xml:space="preserve">10.3. Topología de infraestructura</w:t>
      </w:r>
      <w:bookmarkEnd w:id="24"/>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teléfono contiene la app, la base SQLite, el almacenamiento seguro del sistema (Keystore) y los servicios del sistema operativo (notificaciones, pantalla encendida y hápticos). En la nube, Supabase ofrece autenticación y Postgres con RLS a través de su API REST, siempre por HTTPS. No hay backend propio, porque la app no necesita lógica de servidor que Supabase no cubra. El catálogo de ejercicios se carga desde la API de wger con un script del mantenedor, nunca desde la app.</w:t>
      </w:r>
    </w:p>
    <w:p>
      <w:pPr>
        <w:keepNext w:val="1"/>
        <w:spacing w:before="240" w:after="0" w:line="240" w:lineRule="auto"/>
        <w:jc w:val="center"/>
      </w:pPr>
      <w:r>
        <w:drawing>
          <wp:inline distT="0" distB="0" distL="0" distR="0">
            <wp:extent cx="5580000" cy="5131607"/>
            <wp:effectExtent l="0" t="0" r="0" b="0"/>
            <wp:docPr id="114" name="fig14.png"/>
            <a:graphic>
              <a:graphicData uri="http://schemas.openxmlformats.org/drawingml/2006/picture">
                <pic:pic>
                  <pic:nvPicPr>
                    <pic:cNvPr id="114" name="fig14.png"/>
                    <pic:cNvPicPr/>
                  </pic:nvPicPr>
                  <pic:blipFill>
                    <a:blip r:embed="rIdImg14"/>
                    <a:stretch>
                      <a:fillRect/>
                    </a:stretch>
                  </pic:blipFill>
                  <pic:spPr>
                    <a:xfrm>
                      <a:off x="0" y="0"/>
                      <a:ext cx="5580000" cy="5131607"/>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5. Topología de infraestructura</w:t>
      </w:r>
    </w:p>
    <w:p>
      <w:pPr>
        <w:pStyle w:val="Heading1"/>
        <w:keepNext w:val="1"/>
        <w:spacing w:after="120" w:before="240" w:line="360" w:lineRule="auto"/>
      </w:pPr>
      <w:bookmarkStart w:id="25" w:name="_Toc00025"/>
      <w:r>
        <w:rPr>
          <w:rFonts w:ascii="Arial" w:cs="Arial" w:eastAsia="Arial" w:hAnsi="Arial"/>
          <w:b w:val="1"/>
          <w:bCs w:val="1"/>
          <w:i w:val="0"/>
          <w:iCs w:val="0"/>
          <w:sz w:val="28"/>
          <w:szCs w:val="28"/>
        </w:rPr>
        <w:t xml:space="preserve">11. Persistencia y estrategia de datos</w:t>
      </w:r>
      <w:bookmarkEnd w:id="25"/>
    </w:p>
    <w:p>
      <w:pPr>
        <w:pStyle w:val="Heading2"/>
        <w:keepNext w:val="1"/>
        <w:spacing w:after="60" w:before="180" w:line="360" w:lineRule="auto"/>
      </w:pPr>
      <w:bookmarkStart w:id="26" w:name="_Toc00026"/>
      <w:r>
        <w:rPr>
          <w:rFonts w:ascii="Arial" w:cs="Arial" w:eastAsia="Arial" w:hAnsi="Arial"/>
          <w:b w:val="1"/>
          <w:bCs w:val="1"/>
          <w:i w:val="0"/>
          <w:iCs w:val="0"/>
          <w:sz w:val="24"/>
          <w:szCs w:val="24"/>
        </w:rPr>
        <w:t xml:space="preserve">11.1. Entidades y relaciones</w:t>
      </w:r>
      <w:bookmarkEnd w:id="26"/>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 Entidades principales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10"/>
        <w:gridCol w:w="4852"/>
        <w:gridCol w:w="2109"/>
      </w:tblGrid>
      <w:tr>
        <w:trPr>
          <w:cantSplit w:val="1"/>
          <w:tblHeader w:val="1"/>
        </w:trPr>
        <w:tc>
          <w:tcPr>
            <w:tcW w:w="211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Entidad</w:t>
            </w:r>
          </w:p>
        </w:tc>
        <w:tc>
          <w:tcPr>
            <w:tcW w:w="4852"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Relación</w:t>
            </w:r>
          </w:p>
        </w:tc>
        <w:tc>
          <w:tcPr>
            <w:tcW w:w="210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Origen</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Perfil</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Uno por usuario. Referencia la rutina activa.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Rutina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Tiene varios días.</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 o plantilla</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Día de rutina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Tiene varios ejercicios de rutina.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Ejercicio de rutina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Referencia un ejercicio del catálogo. Define series, rango de repeticiones y descanso.</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Entrenamiento</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 basa en un día de rutina. Tiene varios ejercicios realizados.</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Serie</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Pertenece a un ejercicio realizado. Guarda carga, repeticiones y esfuerzo.</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Ejercicio (catálogo)</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Solo lectura.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API externa (wger)</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Plantilla</w:t>
            </w:r>
          </w:p>
        </w:tc>
        <w:tc>
          <w:tcPr>
            <w:tcW w:w="4852"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Solo lectura.</w:t>
            </w:r>
          </w:p>
        </w:tc>
        <w:tc>
          <w:tcPr>
            <w:tcW w:w="210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Equipo</w:t>
            </w:r>
          </w:p>
        </w:tc>
      </w:tr>
    </w:tbl>
    <w:p>
      <w:pPr>
        <w:spacing w:after="0" w:line="240" w:lineRule="auto"/>
      </w:pPr>
    </w:p>
    <w:p>
      <w:pPr>
        <w:keepNext w:val="1"/>
        <w:spacing w:before="240" w:after="0" w:line="240" w:lineRule="auto"/>
        <w:jc w:val="center"/>
      </w:pPr>
      <w:r>
        <w:drawing>
          <wp:inline distT="0" distB="0" distL="0" distR="0">
            <wp:extent cx="3151750" cy="6480000"/>
            <wp:effectExtent l="0" t="0" r="0" b="0"/>
            <wp:docPr id="115" name="fig15.png"/>
            <a:graphic>
              <a:graphicData uri="http://schemas.openxmlformats.org/drawingml/2006/picture">
                <pic:pic>
                  <pic:nvPicPr>
                    <pic:cNvPr id="115" name="fig15.png"/>
                    <pic:cNvPicPr/>
                  </pic:nvPicPr>
                  <pic:blipFill>
                    <a:blip r:embed="rIdImg15"/>
                    <a:stretch>
                      <a:fillRect/>
                    </a:stretch>
                  </pic:blipFill>
                  <pic:spPr>
                    <a:xfrm>
                      <a:off x="0" y="0"/>
                      <a:ext cx="3151750" cy="6480000"/>
                    </a:xfrm>
                    <a:prstGeom prst="rect">
                      <a:avLst/>
                    </a:prstGeom>
                  </pic:spPr>
                </pic:pic>
              </a:graphicData>
            </a:graphic>
          </wp:inline>
        </w:drawing>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Figura 6. Modelo entidad-relación simplificado</w:t>
      </w:r>
    </w:p>
    <w:p>
      <w:pPr>
        <w:pStyle w:val="Heading2"/>
        <w:keepNext w:val="1"/>
        <w:spacing w:after="60" w:before="180" w:line="360" w:lineRule="auto"/>
      </w:pPr>
      <w:bookmarkStart w:id="27" w:name="_Toc00027"/>
      <w:r>
        <w:rPr>
          <w:rFonts w:ascii="Arial" w:cs="Arial" w:eastAsia="Arial" w:hAnsi="Arial"/>
          <w:b w:val="1"/>
          <w:bCs w:val="1"/>
          <w:i w:val="0"/>
          <w:iCs w:val="0"/>
          <w:sz w:val="24"/>
          <w:szCs w:val="24"/>
        </w:rPr>
        <w:t xml:space="preserve">11.2. Almacenamiento local y remoto</w:t>
      </w:r>
      <w:bookmarkEnd w:id="27"/>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SQLite es la fuente de verdad en el dispositivo: guarda perfil, rutinas, entrenamientos, catálogo, plantillas y el estado de sincronización. Supabase guarda el respaldo de los datos del usuario y publica el catálogo. Las sugerencias y el 1RM estimado no se guardan, se calculan a partir del historial. La sesión de autenticación se guarda cifrada, con la clave en el almacenamiento seguro del sistema.</w:t>
      </w:r>
    </w:p>
    <w:p>
      <w:pPr>
        <w:pStyle w:val="Heading1"/>
        <w:keepNext w:val="1"/>
        <w:spacing w:after="120" w:before="240" w:line="360" w:lineRule="auto"/>
      </w:pPr>
      <w:bookmarkStart w:id="28" w:name="_Toc00028"/>
      <w:r>
        <w:rPr>
          <w:rFonts w:ascii="Arial" w:cs="Arial" w:eastAsia="Arial" w:hAnsi="Arial"/>
          <w:b w:val="1"/>
          <w:bCs w:val="1"/>
          <w:i w:val="0"/>
          <w:iCs w:val="0"/>
          <w:sz w:val="28"/>
          <w:szCs w:val="28"/>
        </w:rPr>
        <w:t xml:space="preserve">12. Estrategia Offline First</w:t>
      </w:r>
      <w:bookmarkEnd w:id="28"/>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Offline First se justifica por el problema: el usuario entrena en lugares sin señal. Todo se escribe primero en local, y la sincronización con Supabase corre aparte mientras la app está abierta.</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XII. Escenarios de conectividad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10"/>
        <w:gridCol w:w="3797"/>
        <w:gridCol w:w="3164"/>
      </w:tblGrid>
      <w:tr>
        <w:trPr>
          <w:cantSplit w:val="1"/>
          <w:tblHeader w:val="1"/>
        </w:trPr>
        <w:tc>
          <w:tcPr>
            <w:tcW w:w="2110"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Escenario</w:t>
            </w:r>
          </w:p>
        </w:tc>
        <w:tc>
          <w:tcPr>
            <w:tcW w:w="379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Qué hace el sistema</w:t>
            </w:r>
          </w:p>
        </w:tc>
        <w:tc>
          <w:tcPr>
            <w:tcW w:w="316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Qué ve el usuario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 conexión</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Escribe en local y sube los cambios a los pocos segundos. Descarga cambios al abrir la app.</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Nada especial. En Perfil, “Respaldado”.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Pierde la conexión</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Sigue escribiendo en local y marca los cambios como pendientes. Reintenta en silencio.</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entrenamiento no cambia. Un indicador discreto muestra los cambios sin respaldar.</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Recupera la conexión</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Sube los pendientes y descarga cambios de otros dispositivos.</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El indicador vuelve a “Respaldado”.</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Datos locales desactualizados</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Las sugerencias usan los datos locales hasta la próxima descarga y después se recalculan.</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Sus datos locales.</w:t>
            </w:r>
          </w:p>
        </w:tc>
      </w:tr>
      <w:tr>
        <w:trPr>
          <w:cantSplit w:val="1"/>
        </w:trPr>
        <w:tc>
          <w:tcPr>
            <w:tcW w:w="2110"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Sin datos locales</w:t>
            </w:r>
          </w:p>
        </w:tc>
        <w:tc>
          <w:tcPr>
            <w:tcW w:w="379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Invitado: catálogo y plantillas vienen incluidos en la app. Usuario con cuenta en un dispositivo nuevo: restauración.</w:t>
            </w:r>
          </w:p>
        </w:tc>
        <w:tc>
          <w:tcPr>
            <w:tcW w:w="316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Onboarding normal, o “Restaurando tus datos”.</w:t>
            </w:r>
          </w:p>
        </w:tc>
      </w:tr>
    </w:tbl>
    <w:p>
      <w:pPr>
        <w:spacing w:after="0" w:line="240" w:lineRule="auto"/>
      </w:pPr>
    </w:p>
    <w:p>
      <w:pPr>
        <w:spacing w:after="0" w:line="360" w:lineRule="auto"/>
        <w:ind w:firstLine="708"/>
        <w:jc w:val="both"/>
      </w:pPr>
      <w:r>
        <w:rPr>
          <w:rFonts w:ascii="Times New Roman" w:cs="Times New Roman" w:eastAsia="Times New Roman" w:hAnsi="Times New Roman"/>
          <w:b w:val="1"/>
          <w:bCs w:val="1"/>
          <w:i w:val="0"/>
          <w:iCs w:val="0"/>
          <w:sz w:val="24"/>
          <w:szCs w:val="24"/>
        </w:rPr>
        <w:t xml:space="preserve">Conflictos:</w:t>
      </w:r>
      <w:r>
        <w:rPr>
          <w:rFonts w:ascii="Times New Roman" w:cs="Times New Roman" w:eastAsia="Times New Roman" w:hAnsi="Times New Roman"/>
          <w:b w:val="0"/>
          <w:bCs w:val="0"/>
          <w:i w:val="0"/>
          <w:iCs w:val="0"/>
          <w:sz w:val="24"/>
          <w:szCs w:val="24"/>
        </w:rPr>
        <w:t xml:space="preserve"> se resuelven por registro con la última escritura (last-write-wins), y un borrado siempre prevalece. Hay pocos conflictos porque cada usuario escribe solo sus datos y el entrenamiento en curso se sube recién al finalizarlo. Si el servidor rechaza un cambio, el usuario lo ve en Perfil y puede descartarlo.</w:t>
      </w:r>
    </w:p>
    <w:p>
      <w:pPr>
        <w:pStyle w:val="Heading1"/>
        <w:keepNext w:val="1"/>
        <w:spacing w:after="120" w:before="240" w:line="360" w:lineRule="auto"/>
      </w:pPr>
      <w:bookmarkStart w:id="29" w:name="_Toc00029"/>
      <w:r>
        <w:rPr>
          <w:rFonts w:ascii="Arial" w:cs="Arial" w:eastAsia="Arial" w:hAnsi="Arial"/>
          <w:b w:val="1"/>
          <w:bCs w:val="1"/>
          <w:i w:val="0"/>
          <w:iCs w:val="0"/>
          <w:sz w:val="28"/>
          <w:szCs w:val="28"/>
        </w:rPr>
        <w:t xml:space="preserve">13. Tecnologías previstas</w:t>
      </w:r>
      <w:bookmarkEnd w:id="29"/>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XIII. Tecnologías y justificación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024"/>
        <w:gridCol w:w="6047"/>
      </w:tblGrid>
      <w:tr>
        <w:trPr>
          <w:cantSplit w:val="1"/>
          <w:tblHeader w:val="1"/>
        </w:trPr>
        <w:tc>
          <w:tcPr>
            <w:tcW w:w="302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Tecnología</w:t>
            </w:r>
          </w:p>
        </w:tc>
        <w:tc>
          <w:tcPr>
            <w:tcW w:w="604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Justificación</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React Native con Expo</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Stack permitido por la cátedra. Expo resuelve notificaciones, pantalla encendida, hápticos y almacenamiento seguro con módulos mantenidos.</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Expo Router</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Navegación basada en archivos, equivalente a Navigation Compose.</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SQLite con Drizzle</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Base local estructurada, equivalente a Room, con tipos, migraciones y consultas observables.</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Zustand</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Estado global mínimo: usuario actual, estado de sincronización y entrenamiento en curso.</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Supabase (Auth y Postgres)</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Autenticación y respaldo con seguridad por fila (RLS), sin mantener un backend propio.</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expo-notifications, expo-keep-awake y expo-haptics</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Temporizador de descanso, pantalla encendida y confirmación táctil.</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expo-secure-store</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Guarda en el Keystore la clave que cifra la sesión.</w:t>
            </w:r>
          </w:p>
        </w:tc>
      </w:tr>
      <w:tr>
        <w:trPr>
          <w:cantSplit w:val="1"/>
        </w:trPr>
        <w:tc>
          <w:tcPr>
            <w:tcW w:w="302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API de wger</w:t>
            </w:r>
          </w:p>
        </w:tc>
        <w:tc>
          <w:tcPr>
            <w:tcW w:w="604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Fuente del catálogo de ejercicios, usada solo por el script de carga.</w:t>
            </w:r>
          </w:p>
        </w:tc>
      </w:tr>
    </w:tbl>
    <w:p>
      <w:pPr>
        <w:spacing w:after="0" w:line="240" w:lineRule="auto"/>
      </w:pPr>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Se descartó un backend propio (NestJS, Hono o .NET): con Supabase y el motor en el dispositivo no tendría una responsabilidad clara.</w:t>
      </w:r>
    </w:p>
    <w:p>
      <w:pPr>
        <w:pStyle w:val="Heading1"/>
        <w:keepNext w:val="1"/>
        <w:spacing w:after="120" w:before="240" w:line="360" w:lineRule="auto"/>
      </w:pPr>
      <w:bookmarkStart w:id="30" w:name="_Toc00030"/>
      <w:r>
        <w:rPr>
          <w:rFonts w:ascii="Arial" w:cs="Arial" w:eastAsia="Arial" w:hAnsi="Arial"/>
          <w:b w:val="1"/>
          <w:bCs w:val="1"/>
          <w:i w:val="0"/>
          <w:iCs w:val="0"/>
          <w:sz w:val="28"/>
          <w:szCs w:val="28"/>
        </w:rPr>
        <w:t xml:space="preserve">14. Repositorio y forma de trabajo</w:t>
      </w:r>
      <w:bookmarkEnd w:id="30"/>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XIV. Repositorio y forma de trabajo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134"/>
        <w:gridCol w:w="6937"/>
      </w:tblGrid>
      <w:tr>
        <w:trPr>
          <w:cantSplit w:val="1"/>
          <w:tblHeader w:val="1"/>
        </w:trPr>
        <w:tc>
          <w:tcPr>
            <w:tcW w:w="213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Ítem</w:t>
            </w:r>
          </w:p>
        </w:tc>
        <w:tc>
          <w:tcPr>
            <w:tcW w:w="693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Definición</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URL</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github.com/ivomiyashiro/onerm</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Integrantes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Ivan Miyashiro</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Ramas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main estable y una rama por funcionalidad (feat/…, fix/…).</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Commits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Conventional Commits, pequeños y frecuentes.</w:t>
            </w:r>
          </w:p>
        </w:tc>
      </w:tr>
      <w:tr>
        <w:trPr>
          <w:cantSplit w:val="1"/>
        </w:trPr>
        <w:tc>
          <w:tcPr>
            <w:tcW w:w="213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Pull requests</w:t>
            </w:r>
          </w:p>
        </w:tc>
        <w:tc>
          <w:tcPr>
            <w:tcW w:w="693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Cada rama entra a main por pull request, con lint y tests aprobados en CI.</w:t>
            </w:r>
          </w:p>
        </w:tc>
      </w:tr>
    </w:tbl>
    <w:p>
      <w:pPr>
        <w:spacing w:after="0" w:line="240" w:lineRule="auto"/>
      </w:pPr>
    </w:p>
    <w:p>
      <w:pPr>
        <w:pStyle w:val="Heading1"/>
        <w:keepNext w:val="1"/>
        <w:spacing w:after="120" w:before="240" w:line="360" w:lineRule="auto"/>
      </w:pPr>
      <w:bookmarkStart w:id="31" w:name="_Toc00031"/>
      <w:r>
        <w:rPr>
          <w:rFonts w:ascii="Arial" w:cs="Arial" w:eastAsia="Arial" w:hAnsi="Arial"/>
          <w:b w:val="1"/>
          <w:bCs w:val="1"/>
          <w:i w:val="0"/>
          <w:iCs w:val="0"/>
          <w:sz w:val="28"/>
          <w:szCs w:val="28"/>
        </w:rPr>
        <w:t xml:space="preserve">15. Integrantes, roles y responsabilidades</w:t>
      </w:r>
      <w:bookmarkEnd w:id="31"/>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El trabajo es individual.</w:t>
      </w:r>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XV. Integrantes y roles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419"/>
        <w:gridCol w:w="1814"/>
        <w:gridCol w:w="4838"/>
      </w:tblGrid>
      <w:tr>
        <w:trPr>
          <w:cantSplit w:val="1"/>
          <w:tblHeader w:val="1"/>
        </w:trPr>
        <w:tc>
          <w:tcPr>
            <w:tcW w:w="2419"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Integrante</w:t>
            </w:r>
          </w:p>
        </w:tc>
        <w:tc>
          <w:tcPr>
            <w:tcW w:w="181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Rol</w:t>
            </w:r>
          </w:p>
        </w:tc>
        <w:tc>
          <w:tcPr>
            <w:tcW w:w="4838"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Responsabilidades</w:t>
            </w:r>
          </w:p>
        </w:tc>
      </w:tr>
      <w:tr>
        <w:trPr>
          <w:cantSplit w:val="1"/>
        </w:trPr>
        <w:tc>
          <w:tcPr>
            <w:tcW w:w="2419"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Ivan Miyashiro (1158050)</w:t>
            </w:r>
          </w:p>
        </w:tc>
        <w:tc>
          <w:tcPr>
            <w:tcW w:w="181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Desarrollo integral</w:t>
            </w:r>
          </w:p>
        </w:tc>
        <w:tc>
          <w:tcPr>
            <w:tcW w:w="4838"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Análisis, UX y UI, arquitectura, persistencia y sincronización, motor de sugerencias, testing y documentación.</w:t>
            </w:r>
          </w:p>
        </w:tc>
      </w:tr>
    </w:tbl>
    <w:p>
      <w:pPr>
        <w:spacing w:after="0" w:line="240" w:lineRule="auto"/>
      </w:pPr>
    </w:p>
    <w:p>
      <w:r>
        <w:br w:type="page"/>
      </w:r>
    </w:p>
    <w:p>
      <w:pPr>
        <w:pStyle w:val="Heading1"/>
        <w:keepNext w:val="1"/>
        <w:spacing w:after="120" w:before="240" w:line="360" w:lineRule="auto"/>
      </w:pPr>
      <w:bookmarkStart w:id="32" w:name="_Toc00032"/>
      <w:r>
        <w:rPr>
          <w:rFonts w:ascii="Arial" w:cs="Arial" w:eastAsia="Arial" w:hAnsi="Arial"/>
          <w:b w:val="1"/>
          <w:bCs w:val="1"/>
          <w:i w:val="0"/>
          <w:iCs w:val="0"/>
          <w:sz w:val="28"/>
          <w:szCs w:val="28"/>
        </w:rPr>
        <w:t xml:space="preserve">Anexo A. Trazabilidad de requisitos</w:t>
      </w:r>
      <w:bookmarkEnd w:id="32"/>
    </w:p>
    <w:p>
      <w:pPr>
        <w:keepNext w:val="1"/>
        <w:spacing w:after="60" w:before="120" w:line="240" w:lineRule="auto"/>
        <w:jc w:val="center"/>
      </w:pPr>
      <w:r>
        <w:rPr>
          <w:rFonts w:ascii="Times New Roman" w:cs="Times New Roman" w:eastAsia="Times New Roman" w:hAnsi="Times New Roman"/>
          <w:b w:val="1"/>
          <w:bCs w:val="1"/>
          <w:i w:val="0"/>
          <w:iCs w:val="0"/>
          <w:sz w:val="20"/>
          <w:szCs w:val="20"/>
        </w:rPr>
        <w:t xml:space="preserve">Tabla XVI. Requisitos de la especificación agrupados en cada RF</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187"/>
        <w:gridCol w:w="5884"/>
      </w:tblGrid>
      <w:tr>
        <w:trPr>
          <w:cantSplit w:val="1"/>
          <w:tblHeader w:val="1"/>
        </w:trPr>
        <w:tc>
          <w:tcPr>
            <w:tcW w:w="3187"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RF principal</w:t>
            </w:r>
          </w:p>
        </w:tc>
        <w:tc>
          <w:tcPr>
            <w:tcW w:w="5884" w:type="dxa"/>
            <w:shd w:fill="e7e6e6" w:val="clear"/>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1"/>
                <w:bCs w:val="1"/>
                <w:i w:val="0"/>
                <w:iCs w:val="0"/>
                <w:sz w:val="22"/>
                <w:szCs w:val="22"/>
              </w:rPr>
              <w:t xml:space="preserve">Requisitos que agrupa</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RF01. Seleccionar o crear una rutina</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RF-PERF-01 y 02 (onboarding y recomendación), RF-CAT-01 a 03 (catálogo) y RF-RUT-01 a 09 (rutinas).</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RF02. Registrar un entrenamiento</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RF-ENT-01 a 16 (entrenamiento en curso, temporizador, retomar y finalizar).</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RF03. Sugerir la carga</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RF-SUG-01 a 10 (calibración, doble progresión, esfuerzo, descarga y motivo).</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RF04. Ver el progreso</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RF-PROG-01 a 05 (historial, detalle, evolución del 1RM estimado y récords).</w:t>
            </w:r>
          </w:p>
        </w:tc>
      </w:tr>
      <w:tr>
        <w:trPr>
          <w:cantSplit w:val="1"/>
        </w:trPr>
        <w:tc>
          <w:tcPr>
            <w:tcW w:w="3187"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Soporte transversal</w:t>
            </w:r>
          </w:p>
        </w:tc>
        <w:tc>
          <w:tcPr>
            <w:tcW w:w="5884" w:type="dxa"/>
            <w:tcMar>
              <w:top w:w="40" w:type="dxa"/>
              <w:left w:w="100" w:type="dxa"/>
              <w:bottom w:w="40" w:type="dxa"/>
              <w:right w:w="100" w:type="dxa"/>
            </w:tcMar>
            <w:vAlign w:val="center"/>
          </w:tcPr>
          <w:p>
            <w:pPr>
              <w:spacing w:after="0" w:line="240" w:lineRule="auto"/>
            </w:pPr>
            <w:r>
              <w:rPr>
                <w:rFonts w:ascii="Times New Roman" w:cs="Times New Roman" w:eastAsia="Times New Roman" w:hAnsi="Times New Roman"/>
                <w:b w:val="0"/>
                <w:bCs w:val="0"/>
                <w:i w:val="0"/>
                <w:iCs w:val="0"/>
                <w:sz w:val="22"/>
                <w:szCs w:val="22"/>
              </w:rPr>
              <w:t xml:space="preserve">RF-AUTH (invitado y cuenta) y RF-SYNC (respaldo y restauración), que sostienen el objetivo de no perder el historial.</w:t>
            </w:r>
          </w:p>
        </w:tc>
      </w:tr>
    </w:tbl>
    <w:p>
      <w:pPr>
        <w:spacing w:after="0" w:line="240" w:lineRule="auto"/>
      </w:pPr>
    </w:p>
    <w:p>
      <w:pPr>
        <w:pStyle w:val="Heading1"/>
        <w:keepNext w:val="1"/>
        <w:spacing w:after="120" w:before="240" w:line="360" w:lineRule="auto"/>
      </w:pPr>
      <w:bookmarkStart w:id="33" w:name="_Toc00033"/>
      <w:r>
        <w:rPr>
          <w:rFonts w:ascii="Arial" w:cs="Arial" w:eastAsia="Arial" w:hAnsi="Arial"/>
          <w:b w:val="1"/>
          <w:bCs w:val="1"/>
          <w:i w:val="0"/>
          <w:iCs w:val="0"/>
          <w:sz w:val="28"/>
          <w:szCs w:val="28"/>
        </w:rPr>
        <w:t xml:space="preserve">Anexo B. Uso de inteligencia artificial</w:t>
      </w:r>
      <w:bookmarkEnd w:id="33"/>
    </w:p>
    <w:p>
      <w:pPr>
        <w:spacing w:after="0" w:line="360" w:lineRule="auto"/>
        <w:ind w:firstLine="708"/>
        <w:jc w:val="both"/>
      </w:pPr>
      <w:r>
        <w:rPr>
          <w:rFonts w:ascii="Times New Roman" w:cs="Times New Roman" w:eastAsia="Times New Roman" w:hAnsi="Times New Roman"/>
          <w:b w:val="0"/>
          <w:bCs w:val="0"/>
          <w:i w:val="0"/>
          <w:iCs w:val="0"/>
          <w:sz w:val="24"/>
          <w:szCs w:val="24"/>
        </w:rPr>
        <w:t xml:space="preserve">Se usan asistentes de IA para consulta, revisión de la especificación y apoyo en la redacción y el código. Toda decisión y todo fragmento incorporado se revisa y se puede explicar en la defensa. Las justificaciones técnicas de este documento se basan en el problema y el contexto de uso, no en la respuesta de una herramienta.</w:t>
      </w:r>
    </w:p>
    <w:sectPr>
      <w:type w:val="nextPage"/>
      <w:pgSz w:h="16838" w:w="11906" w:orient="portrait"/>
      <w:pgMar w:bottom="1417" w:top="2268" w:left="1531" w:right="130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tabs>
        <w:tab w:val="center" w:leader="none" w:pos="4252"/>
        <w:tab w:val="right" w:leader="none" w:pos="8504"/>
      </w:tabs>
      <w:rPr>
        <w:b w:val="1"/>
        <w:bCs w:val="1"/>
        <w:color w:val="434343"/>
        <w:sz w:val="20"/>
        <w:szCs w:val="20"/>
      </w:rPr>
    </w:pPr>
    <w:r w:rsidDel="00000000" w:rsidR="00000000" w:rsidRPr="00000000">
      <w:rPr>
        <w:b w:val="1"/>
        <w:bCs w:val="1"/>
        <w:color w:val="434343"/>
        <w:sz w:val="20"/>
        <w:szCs w:val="20"/>
        <w:rtl w:val="0"/>
      </w:rPr>
      <w:t xml:space="preserve">UADE </w:t>
    </w:r>
  </w:p>
  <w:p w:rsidR="00000000" w:rsidDel="00000000" w:rsidP="00000000" w:rsidRDefault="00000000" w:rsidRPr="00000000" w14:paraId="000000F8">
    <w:pPr>
      <w:tabs>
        <w:tab w:val="center" w:leader="none" w:pos="4252"/>
        <w:tab w:val="right" w:leader="none" w:pos="8504"/>
      </w:tabs>
      <w:rPr>
        <w:b w:val="1"/>
        <w:bCs w:val="1"/>
        <w:color w:val="434343"/>
        <w:sz w:val="20"/>
        <w:szCs w:val="20"/>
      </w:rPr>
    </w:pPr>
    <w:r w:rsidDel="00000000" w:rsidR="00000000" w:rsidRPr="00000000">
      <w:rPr>
        <w:b w:val="1"/>
        <w:bCs w:val="1"/>
        <w:color w:val="434343"/>
        <w:sz w:val="20"/>
        <w:szCs w:val="20"/>
        <w:rtl w:val="0"/>
      </w:rPr>
      <w:t xml:space="preserve">Desarrollo de Aplicaciones I</w:t>
    </w:r>
  </w:p>
  <w:p w:rsidR="00000000" w:rsidDel="00000000" w:rsidP="00000000" w:rsidRDefault="00000000" w:rsidRPr="00000000" w14:paraId="000000F9">
    <w:pPr>
      <w:tabs>
        <w:tab w:val="center" w:leader="none" w:pos="4252"/>
        <w:tab w:val="right" w:leader="none" w:pos="8504"/>
      </w:tabs>
      <w:rPr>
        <w:color w:val="434343"/>
        <w:sz w:val="20"/>
        <w:szCs w:val="20"/>
      </w:rPr>
    </w:pPr>
    <w:r w:rsidDel="00000000" w:rsidR="00000000" w:rsidRPr="00000000">
      <w:rPr>
        <w:b w:val="1"/>
        <w:bCs w:val="1"/>
        <w:color w:val="434343"/>
        <w:sz w:val="20"/>
        <w:szCs w:val="20"/>
        <w:rtl w:val="0"/>
      </w:rPr>
      <w:t xml:space="preserve">Entregable:</w:t>
    </w:r>
    <w:r w:rsidDel="00000000" w:rsidR="00000000" w:rsidRPr="00000000">
      <w:rPr>
        <w:color w:val="434343"/>
        <w:sz w:val="20"/>
        <w:szCs w:val="20"/>
        <w:rtl w:val="0"/>
      </w:rPr>
      <w:t xml:space="preserve"> Etapa 1, Preentrega de análisis y diseño</w:t>
    </w:r>
  </w:p>
  <w:p w:rsidR="00000000" w:rsidDel="00000000" w:rsidP="00000000" w:rsidRDefault="00000000" w:rsidRPr="00000000" w14:paraId="000000FA">
    <w:pPr>
      <w:tabs>
        <w:tab w:val="center" w:leader="none" w:pos="4252"/>
        <w:tab w:val="right" w:leader="none" w:pos="8504"/>
      </w:tabs>
      <w:rPr>
        <w:color w:val="434343"/>
        <w:sz w:val="20"/>
        <w:szCs w:val="20"/>
      </w:rPr>
    </w:pPr>
    <w:r w:rsidDel="00000000" w:rsidR="00000000" w:rsidRPr="00000000">
      <w:rPr>
        <w:b w:val="1"/>
        <w:bCs w:val="1"/>
        <w:color w:val="434343"/>
        <w:sz w:val="20"/>
        <w:szCs w:val="20"/>
        <w:rtl w:val="0"/>
      </w:rPr>
      <w:t xml:space="preserve">Docentes:</w:t>
    </w:r>
    <w:r w:rsidDel="00000000" w:rsidR="00000000" w:rsidRPr="00000000">
      <w:rPr>
        <w:color w:val="434343"/>
        <w:sz w:val="20"/>
        <w:szCs w:val="20"/>
        <w:rtl w:val="0"/>
      </w:rPr>
      <w:t xml:space="preserve"> Peña, Alejandro Francisco; Narducci, Adrián Alberto</w:t>
    </w:r>
  </w:p>
  <w:p w:rsidR="00000000" w:rsidDel="00000000" w:rsidP="00000000" w:rsidRDefault="00000000" w:rsidRPr="00000000" w14:paraId="000000FB">
    <w:pPr>
      <w:tabs>
        <w:tab w:val="center" w:leader="none" w:pos="4252"/>
        <w:tab w:val="right" w:leader="none" w:pos="8504"/>
      </w:tabs>
      <w:rPr>
        <w:color w:val="434343"/>
        <w:sz w:val="20"/>
        <w:szCs w:val="20"/>
      </w:rPr>
    </w:pPr>
    <w:r w:rsidDel="00000000" w:rsidR="00000000" w:rsidRPr="00000000">
      <w:rPr>
        <w:b w:val="1"/>
        <w:bCs w:val="1"/>
        <w:color w:val="434343"/>
        <w:sz w:val="20"/>
        <w:szCs w:val="20"/>
        <w:rtl w:val="0"/>
      </w:rPr>
      <w:t xml:space="preserve">Alumno:</w:t>
    </w:r>
    <w:r w:rsidDel="00000000" w:rsidR="00000000" w:rsidRPr="00000000">
      <w:rPr>
        <w:color w:val="434343"/>
        <w:sz w:val="20"/>
        <w:szCs w:val="20"/>
        <w:rtl w:val="0"/>
      </w:rPr>
      <w:t xml:space="preserve"> Miyashiro, Ivan (1158050)</w:t>
    </w:r>
  </w:p>
  <w:p w:rsidR="00000000" w:rsidDel="00000000" w:rsidP="00000000" w:rsidRDefault="00000000" w:rsidRPr="00000000" w14:paraId="000000F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f0efe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36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 Id="rIdImg1" Type="http://schemas.openxmlformats.org/officeDocument/2006/relationships/image" Target="media/fig1.png"/><Relationship Id="rIdImg2" Type="http://schemas.openxmlformats.org/officeDocument/2006/relationships/image" Target="media/fig2.png"/><Relationship Id="rIdImg3" Type="http://schemas.openxmlformats.org/officeDocument/2006/relationships/image" Target="media/fig3.png"/><Relationship Id="rIdImg4" Type="http://schemas.openxmlformats.org/officeDocument/2006/relationships/image" Target="media/fig4.png"/><Relationship Id="rIdImg5" Type="http://schemas.openxmlformats.org/officeDocument/2006/relationships/image" Target="media/fig5.png"/><Relationship Id="rIdImg6" Type="http://schemas.openxmlformats.org/officeDocument/2006/relationships/image" Target="media/fig6.png"/><Relationship Id="rIdImg7" Type="http://schemas.openxmlformats.org/officeDocument/2006/relationships/image" Target="media/fig7.png"/><Relationship Id="rIdImg8" Type="http://schemas.openxmlformats.org/officeDocument/2006/relationships/image" Target="media/fig8.png"/><Relationship Id="rIdImg9" Type="http://schemas.openxmlformats.org/officeDocument/2006/relationships/image" Target="media/fig9.png"/><Relationship Id="rIdImg10" Type="http://schemas.openxmlformats.org/officeDocument/2006/relationships/image" Target="media/fig10.png"/><Relationship Id="rIdImg11" Type="http://schemas.openxmlformats.org/officeDocument/2006/relationships/image" Target="media/fig11.png"/><Relationship Id="rIdImg12" Type="http://schemas.openxmlformats.org/officeDocument/2006/relationships/image" Target="media/fig12.png"/><Relationship Id="rIdImg13" Type="http://schemas.openxmlformats.org/officeDocument/2006/relationships/image" Target="media/fig13.png"/><Relationship Id="rIdImg14" Type="http://schemas.openxmlformats.org/officeDocument/2006/relationships/image" Target="media/fig14.png"/><Relationship Id="rIdImg15" Type="http://schemas.openxmlformats.org/officeDocument/2006/relationships/image" Target="media/fig15.png"/><Relationship Id="rIdFigma" Type="http://schemas.openxmlformats.org/officeDocument/2006/relationships/hyperlink" Target="https://www.figma.com/design/73VZUZ69JtHsIzM4vgIlHZ/OneRM-%E2%80%94-Prototipo?node-id=0-1&amp;t=ImpAAFRpqr3hI6uO-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OYc+yqzk9D2BVO8MkpRcZQRRQQ==">CgMxLjAaHwoBMBIaChgICVIUChJ0YWJsZS5jZmU1czBpa3ZlbmUaHwoBMRIaChgICVIUChJ0YWJsZS52eHpzeW4zcnR1eGMaHwoBMhIaChgICVIUChJ0YWJsZS5vdmltOGRqMWxmczY4AHIhMWNPMWNsNU5hcnRnSTJ1OTNFY1F2RlFmemF0NUxfbXB2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2026-09-16T14:19:07.193Z</dcterms:created>
  <dc:creator>Grupo 4 — ProfitZone</dc:creator>
</cp:coreProperties>
</file>

<file path=docProps/custom.xml><?xml version="1.0" encoding="utf-8"?>
<Properties xmlns="http://schemas.openxmlformats.org/officeDocument/2006/custom-properties" xmlns:vt="http://schemas.openxmlformats.org/officeDocument/2006/docPropsVTypes"/>
</file>