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EDB" w:rsidRPr="00152EDB" w:rsidRDefault="00152EDB" w:rsidP="00152EDB">
      <w:pPr>
        <w:shd w:val="clear" w:color="auto" w:fill="FFFFFF"/>
        <w:spacing w:line="360" w:lineRule="atLeast"/>
        <w:rPr>
          <w:rFonts w:ascii="Arial" w:eastAsia="Times New Roman" w:hAnsi="Arial" w:cs="Times New Roman"/>
          <w:b/>
          <w:color w:val="0A0A0A"/>
          <w:lang w:val="es-US"/>
        </w:rPr>
      </w:pPr>
      <w:bookmarkStart w:id="0" w:name="_GoBack"/>
      <w:r w:rsidRPr="00152EDB">
        <w:rPr>
          <w:rFonts w:ascii="Arial" w:eastAsia="Times New Roman" w:hAnsi="Arial" w:cs="Times New Roman"/>
          <w:b/>
          <w:color w:val="0A0A0A"/>
          <w:lang w:val="es-US"/>
        </w:rPr>
        <w:t>Avances en Alzheimer.</w:t>
      </w:r>
    </w:p>
    <w:bookmarkEnd w:id="0"/>
    <w:p w:rsidR="00152EDB" w:rsidRPr="00152EDB" w:rsidRDefault="00152EDB" w:rsidP="00152EDB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152EDB">
        <w:rPr>
          <w:rFonts w:ascii="Arial" w:eastAsia="Times New Roman" w:hAnsi="Arial" w:cs="Times New Roman"/>
          <w:color w:val="0A0A0A"/>
          <w:lang w:val="es-US"/>
        </w:rPr>
        <w:t>Los últimos avances en Alzheimer (2024-2025) destacan por el diagnóstico temprano mediante biomarcadores en sangre, evitando punciones lumbares, y la aprobación de fármacos modificadores como lecanemab y donanemab, que ralentizan el deterioro cognitivo al reducir placas amiloides. La atención se enfoca en terapias combinadas y prevención mediante estilos de vida saludables. </w:t>
      </w:r>
    </w:p>
    <w:p w:rsidR="00152EDB" w:rsidRPr="00152EDB" w:rsidRDefault="00152EDB" w:rsidP="00152EDB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</w:p>
    <w:p w:rsidR="00152EDB" w:rsidRPr="00152EDB" w:rsidRDefault="00152EDB" w:rsidP="00152EDB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152EDB">
        <w:rPr>
          <w:rFonts w:ascii="Arial" w:eastAsia="Times New Roman" w:hAnsi="Arial" w:cs="Times New Roman"/>
          <w:b/>
          <w:bCs/>
          <w:color w:val="0A0A0A"/>
          <w:lang w:val="es-US"/>
        </w:rPr>
        <w:t>Principales Avances en Neurología (Alzheimer):</w:t>
      </w:r>
    </w:p>
    <w:p w:rsidR="00152EDB" w:rsidRPr="00152EDB" w:rsidRDefault="00152EDB" w:rsidP="00152ED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152EDB">
        <w:rPr>
          <w:rFonts w:ascii="Arial" w:eastAsia="Times New Roman" w:hAnsi="Arial" w:cs="Times New Roman"/>
          <w:b/>
          <w:bCs/>
          <w:color w:val="0A0A0A"/>
          <w:lang w:val="es-US"/>
        </w:rPr>
        <w:t>Diagnóstico Temprano (Biomarcadores):</w:t>
      </w:r>
      <w:r w:rsidRPr="00152EDB">
        <w:rPr>
          <w:rFonts w:ascii="Arial" w:eastAsia="Times New Roman" w:hAnsi="Arial" w:cs="Times New Roman"/>
          <w:color w:val="0A0A0A"/>
          <w:lang w:val="es-US"/>
        </w:rPr>
        <w:t> Análisis de sangre capaces de detectar proteínas tau y amiloide, permitiendo identificar la enfermedad años antes de los síntomas.</w:t>
      </w:r>
    </w:p>
    <w:p w:rsidR="00152EDB" w:rsidRPr="00152EDB" w:rsidRDefault="00152EDB" w:rsidP="00152ED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152EDB">
        <w:rPr>
          <w:rFonts w:ascii="Arial" w:eastAsia="Times New Roman" w:hAnsi="Arial" w:cs="Times New Roman"/>
          <w:b/>
          <w:bCs/>
          <w:color w:val="0A0A0A"/>
          <w:lang w:val="es-US"/>
        </w:rPr>
        <w:t>Medicamentos Modificadores (Terapias antiamiloides):</w:t>
      </w:r>
      <w:r w:rsidRPr="00152EDB">
        <w:rPr>
          <w:rFonts w:ascii="Arial" w:eastAsia="Times New Roman" w:hAnsi="Arial" w:cs="Times New Roman"/>
          <w:color w:val="0A0A0A"/>
          <w:lang w:val="es-US"/>
        </w:rPr>
        <w:t> </w:t>
      </w:r>
      <w:hyperlink r:id="rId5" w:tgtFrame="_blank" w:history="1">
        <w:r w:rsidRPr="00152EDB">
          <w:rPr>
            <w:rFonts w:ascii="Arial" w:eastAsia="Times New Roman" w:hAnsi="Arial" w:cs="Times New Roman"/>
            <w:color w:val="1A0DAB"/>
            <w:u w:val="single"/>
            <w:lang w:val="es-US"/>
          </w:rPr>
          <w:t>Lecanemab (Leqembi)</w:t>
        </w:r>
      </w:hyperlink>
      <w:r w:rsidRPr="00152EDB">
        <w:rPr>
          <w:rFonts w:ascii="Arial" w:eastAsia="Times New Roman" w:hAnsi="Arial" w:cs="Times New Roman"/>
          <w:color w:val="0A0A0A"/>
          <w:lang w:val="es-US"/>
        </w:rPr>
        <w:t> y donanemab han demostrado reducir el avance de la enfermedad en fases leves.</w:t>
      </w:r>
    </w:p>
    <w:p w:rsidR="00152EDB" w:rsidRPr="00152EDB" w:rsidRDefault="00152EDB" w:rsidP="00152ED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Investigación en Vacunas:</w:t>
      </w:r>
      <w:r w:rsidRPr="00152EDB">
        <w:rPr>
          <w:rFonts w:ascii="Arial" w:eastAsia="Times New Roman" w:hAnsi="Arial" w:cs="Times New Roman"/>
          <w:color w:val="0A0A0A"/>
        </w:rPr>
        <w:t> La inmunoterapia activa/pasiva busca estimular el sistema inmune para eliminar las proteínas amiloides.</w:t>
      </w:r>
    </w:p>
    <w:p w:rsidR="00152EDB" w:rsidRPr="00152EDB" w:rsidRDefault="00152EDB" w:rsidP="00152ED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IA y Tecnología:</w:t>
      </w:r>
      <w:r w:rsidRPr="00152EDB">
        <w:rPr>
          <w:rFonts w:ascii="Arial" w:eastAsia="Times New Roman" w:hAnsi="Arial" w:cs="Times New Roman"/>
          <w:color w:val="0A0A0A"/>
        </w:rPr>
        <w:t> Uso de inteligencia artificial para validar biomarcadores y </w:t>
      </w:r>
      <w:hyperlink r:id="rId6" w:tgtFrame="_blank" w:history="1">
        <w:r w:rsidRPr="00152EDB">
          <w:rPr>
            <w:rFonts w:ascii="Arial" w:eastAsia="Times New Roman" w:hAnsi="Arial" w:cs="Times New Roman"/>
            <w:color w:val="1A0DAB"/>
            <w:u w:val="single"/>
          </w:rPr>
          <w:t>PET-TC de última generación</w:t>
        </w:r>
      </w:hyperlink>
      <w:r w:rsidRPr="00152EDB">
        <w:rPr>
          <w:rFonts w:ascii="Arial" w:eastAsia="Times New Roman" w:hAnsi="Arial" w:cs="Times New Roman"/>
          <w:color w:val="0A0A0A"/>
        </w:rPr>
        <w:t> para diagnóstico de precisión.</w:t>
      </w:r>
    </w:p>
    <w:p w:rsidR="00152EDB" w:rsidRPr="00152EDB" w:rsidRDefault="00152EDB" w:rsidP="00152ED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Estudios de factores de riesgo:</w:t>
      </w:r>
      <w:r w:rsidRPr="00152EDB">
        <w:rPr>
          <w:rFonts w:ascii="Arial" w:eastAsia="Times New Roman" w:hAnsi="Arial" w:cs="Times New Roman"/>
          <w:color w:val="0A0A0A"/>
        </w:rPr>
        <w:t> Se ha encontrado que la vacunación contra el herpes zóster puede reducir el riesgo de demencia al disminuir la inflamación. </w:t>
      </w:r>
    </w:p>
    <w:p w:rsidR="00152EDB" w:rsidRDefault="00152EDB" w:rsidP="00152EDB">
      <w:pPr>
        <w:shd w:val="clear" w:color="auto" w:fill="FFFFFF"/>
        <w:spacing w:line="360" w:lineRule="atLeast"/>
        <w:rPr>
          <w:rFonts w:ascii="Arial" w:eastAsia="Times New Roman" w:hAnsi="Arial" w:cs="Times New Roman"/>
          <w:b/>
          <w:bCs/>
          <w:color w:val="0A0A0A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Cuidados y Manejo del Alzheimer:</w:t>
      </w:r>
    </w:p>
    <w:p w:rsidR="00152EDB" w:rsidRPr="00152EDB" w:rsidRDefault="00152EDB" w:rsidP="00152EDB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</w:p>
    <w:p w:rsidR="00152EDB" w:rsidRPr="00152EDB" w:rsidRDefault="00152EDB" w:rsidP="00152ED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Terapias Cognitivas:</w:t>
      </w:r>
      <w:r w:rsidRPr="00152EDB">
        <w:rPr>
          <w:rFonts w:ascii="Arial" w:eastAsia="Times New Roman" w:hAnsi="Arial" w:cs="Times New Roman"/>
          <w:color w:val="0A0A0A"/>
        </w:rPr>
        <w:t> Juegos y estimulación cognitiva computarizada para medir y ralentizar la evolución de la enfermedad.</w:t>
      </w:r>
    </w:p>
    <w:p w:rsidR="00152EDB" w:rsidRPr="00152EDB" w:rsidRDefault="00152EDB" w:rsidP="00152ED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Intervención en Sueño:</w:t>
      </w:r>
      <w:r w:rsidRPr="00152EDB">
        <w:rPr>
          <w:rFonts w:ascii="Arial" w:eastAsia="Times New Roman" w:hAnsi="Arial" w:cs="Times New Roman"/>
          <w:color w:val="0A0A0A"/>
        </w:rPr>
        <w:t> Uso de medicamentos para regular el ciclo del sueño (antagonistas de orexina como </w:t>
      </w:r>
      <w:hyperlink r:id="rId7" w:tgtFrame="_blank" w:history="1">
        <w:r w:rsidRPr="00152EDB">
          <w:rPr>
            <w:rFonts w:ascii="Arial" w:eastAsia="Times New Roman" w:hAnsi="Arial" w:cs="Times New Roman"/>
            <w:color w:val="1A0DAB"/>
            <w:u w:val="single"/>
          </w:rPr>
          <w:t>suvorexant</w:t>
        </w:r>
      </w:hyperlink>
      <w:r w:rsidRPr="00152EDB">
        <w:rPr>
          <w:rFonts w:ascii="Arial" w:eastAsia="Times New Roman" w:hAnsi="Arial" w:cs="Times New Roman"/>
          <w:color w:val="0A0A0A"/>
        </w:rPr>
        <w:t>), reduciendo la patología amiloide.</w:t>
      </w:r>
    </w:p>
    <w:p w:rsidR="00152EDB" w:rsidRPr="00152EDB" w:rsidRDefault="00152EDB" w:rsidP="00152ED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Nutrición:</w:t>
      </w:r>
      <w:r w:rsidRPr="00152EDB">
        <w:rPr>
          <w:rFonts w:ascii="Arial" w:eastAsia="Times New Roman" w:hAnsi="Arial" w:cs="Times New Roman"/>
          <w:color w:val="0A0A0A"/>
        </w:rPr>
        <w:t> Dietas ricas en antioxidantes y vitaminas (verduras crucíferas, bayas) para combatir el deterioro cognitivo.</w:t>
      </w:r>
    </w:p>
    <w:p w:rsidR="00152EDB" w:rsidRPr="00152EDB" w:rsidRDefault="00152EDB" w:rsidP="00152ED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152EDB">
        <w:rPr>
          <w:rFonts w:ascii="Arial" w:eastAsia="Times New Roman" w:hAnsi="Arial" w:cs="Times New Roman"/>
          <w:b/>
          <w:bCs/>
          <w:color w:val="0A0A0A"/>
        </w:rPr>
        <w:t>Atención Interdisciplinaria:</w:t>
      </w:r>
      <w:r w:rsidRPr="00152EDB">
        <w:rPr>
          <w:rFonts w:ascii="Arial" w:eastAsia="Times New Roman" w:hAnsi="Arial" w:cs="Times New Roman"/>
          <w:color w:val="0A0A0A"/>
        </w:rPr>
        <w:t> Enfoque integral que involucra profesionales de la salud, trabajadores sociales y redes de apoyo. </w:t>
      </w:r>
    </w:p>
    <w:p w:rsidR="00152EDB" w:rsidRPr="00152EDB" w:rsidRDefault="00152EDB" w:rsidP="00152EDB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152EDB">
        <w:rPr>
          <w:rFonts w:ascii="Arial" w:eastAsia="Times New Roman" w:hAnsi="Arial" w:cs="Times New Roman"/>
          <w:color w:val="0A0A0A"/>
        </w:rPr>
        <w:t>Los fármacos actuales, como el lecanemab, pueden retrasar la progresión hasta en un 60% en fases muy tempranas</w:t>
      </w:r>
    </w:p>
    <w:p w:rsidR="00152EDB" w:rsidRDefault="00152EDB"/>
    <w:sectPr w:rsidR="00152EDB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F4C50"/>
    <w:multiLevelType w:val="multilevel"/>
    <w:tmpl w:val="CAE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D1A60"/>
    <w:multiLevelType w:val="multilevel"/>
    <w:tmpl w:val="04E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DB"/>
    <w:rsid w:val="00152EDB"/>
    <w:rsid w:val="0030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92B9"/>
  <w15:chartTrackingRefBased/>
  <w15:docId w15:val="{E9902FE6-DDDA-B549-9EDB-2C4BB1A5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152EDB"/>
  </w:style>
  <w:style w:type="character" w:customStyle="1" w:styleId="ifmvxd">
    <w:name w:val="ifmvxd"/>
    <w:basedOn w:val="DefaultParagraphFont"/>
    <w:rsid w:val="00152EDB"/>
  </w:style>
  <w:style w:type="character" w:customStyle="1" w:styleId="ijm6od">
    <w:name w:val="ijm6od"/>
    <w:basedOn w:val="DefaultParagraphFont"/>
    <w:rsid w:val="00152EDB"/>
  </w:style>
  <w:style w:type="character" w:styleId="Strong">
    <w:name w:val="Strong"/>
    <w:basedOn w:val="DefaultParagraphFont"/>
    <w:uiPriority w:val="22"/>
    <w:qFormat/>
    <w:rsid w:val="00152EDB"/>
    <w:rPr>
      <w:b/>
      <w:bCs/>
    </w:rPr>
  </w:style>
  <w:style w:type="paragraph" w:customStyle="1" w:styleId="df3vjf">
    <w:name w:val="df3vjf"/>
    <w:basedOn w:val="Normal"/>
    <w:rsid w:val="00152E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DefaultParagraphFont"/>
    <w:rsid w:val="00152EDB"/>
  </w:style>
  <w:style w:type="character" w:styleId="Hyperlink">
    <w:name w:val="Hyperlink"/>
    <w:basedOn w:val="DefaultParagraphFont"/>
    <w:uiPriority w:val="99"/>
    <w:semiHidden/>
    <w:unhideWhenUsed/>
    <w:rsid w:val="00152E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3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ureus.com/articles/380215-advancing-care-in-alzheimers-disease-current-treatments-and-their-impact-on-quality-of-li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uposcanner.biz/alzheimer-2025-nuevos-avances-terapias-emergentes-y-el-papel-clave-del-pet-tc-en-el-diagnostico-precoz/" TargetMode="External"/><Relationship Id="rId5" Type="http://schemas.openxmlformats.org/officeDocument/2006/relationships/hyperlink" Target="https://www.mayoclinic.org/es/diseases-conditions/alzheimers-disease/in-depth/lecanemab/art-2054810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2026-02-25T04:38:00Z</dcterms:created>
  <dcterms:modified xsi:type="dcterms:W3CDTF">2026-02-25T04:38:00Z</dcterms:modified>
</cp:coreProperties>
</file>