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60"/>
        <w:jc w:val="center"/>
      </w:pPr>
      <w:r>
        <w:rPr>
          <w:rFonts w:ascii="Inter" w:cs="Inter" w:eastAsia="Inter" w:hAnsi="Inter"/>
          <w:sz w:val="72"/>
          <w:szCs w:val="72"/>
        </w:rPr>
        <w:t xml:space="preserve">🌿</w:t>
      </w:r>
    </w:p>
    <w:p>
      <w:pPr>
        <w:spacing w:after="120"/>
        <w:jc w:val="center"/>
      </w:pPr>
      <w:r>
        <w:rPr>
          <w:rFonts w:ascii="Inter" w:cs="Inter" w:eastAsia="Inter" w:hAnsi="Inter"/>
          <w:b/>
          <w:bCs/>
          <w:color w:val="1A736A"/>
          <w:sz w:val="56"/>
          <w:szCs w:val="56"/>
        </w:rPr>
        <w:t xml:space="preserve">ECOMED</w:t>
      </w:r>
    </w:p>
    <w:p>
      <w:pPr>
        <w:spacing w:after="60"/>
        <w:jc w:val="center"/>
      </w:pPr>
      <w:r>
        <w:rPr>
          <w:rFonts w:ascii="Inter" w:cs="Inter" w:eastAsia="Inter" w:hAnsi="Inter"/>
          <w:i/>
          <w:iCs/>
          <w:color w:val="3E8C8C"/>
          <w:sz w:val="24"/>
          <w:szCs w:val="24"/>
        </w:rPr>
        <w:t xml:space="preserve">Descarte certo, planeta saudável</w:t>
      </w:r>
    </w:p>
    <w:p>
      <w:pPr>
        <w:spacing w:after="300"/>
      </w:pPr>
    </w:p>
    <w:p>
      <w:pPr>
        <w:spacing w:after="40"/>
        <w:jc w:val="center"/>
      </w:pPr>
      <w:r>
        <w:rPr>
          <w:rFonts w:ascii="Inter" w:cs="Inter" w:eastAsia="Inter" w:hAnsi="Inter"/>
          <w:b/>
          <w:bCs/>
          <w:color w:val="1A1A1A"/>
          <w:sz w:val="34"/>
          <w:szCs w:val="34"/>
        </w:rPr>
        <w:t xml:space="preserve">ANÁLISE FINANCEIRA E TCO</w:t>
      </w:r>
    </w:p>
    <w:p>
      <w:pPr>
        <w:spacing w:after="40"/>
        <w:jc w:val="center"/>
      </w:pPr>
      <w:r>
        <w:rPr>
          <w:rFonts w:ascii="Inter" w:cs="Inter" w:eastAsia="Inter" w:hAnsi="Inter"/>
          <w:color w:val="4A4A4A"/>
          <w:sz w:val="19"/>
          <w:szCs w:val="19"/>
        </w:rPr>
        <w:t xml:space="preserve">Total Cost of Ownership, Comparativo de Stacks, Cenários de Escala e Estratégia de Financiamento</w:t>
      </w:r>
    </w:p>
    <w:p>
      <w:pPr>
        <w:spacing w:after="200"/>
      </w:pPr>
    </w:p>
    <w:p>
      <w:pPr>
        <w:spacing w:after="40"/>
        <w:jc w:val="center"/>
      </w:pPr>
      <w:r>
        <w:rPr>
          <w:rFonts w:ascii="Inter" w:cs="Inter" w:eastAsia="Inter" w:hAnsi="Inter"/>
          <w:color w:val="4A4A4A"/>
          <w:sz w:val="20"/>
          <w:szCs w:val="20"/>
        </w:rPr>
        <w:t xml:space="preserve">Versão 1.0 — Abril de 2026 | ecomed.eco.br | Prof. Ivon Matos</w:t>
      </w:r>
    </w:p>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E8C8C" w:sz="4"/>
              <w:left w:val="none" w:sz="0"/>
              <w:bottom w:val="none" w:sz="0"/>
              <w:right w:val="none" w:sz="0"/>
            </w:tcBorders>
            <w:shd w:fill="F5F4F2" w:val="clear"/>
            <w:tcMar>
              <w:top w:type="dxa" w:w="120"/>
              <w:left w:type="dxa" w:w="200"/>
              <w:bottom w:type="dxa" w:w="120"/>
              <w:right w:type="dxa" w:w="200"/>
            </w:tcMar>
          </w:tcPr>
          <w:p>
            <w:pPr>
              <w:spacing w:after="60"/>
            </w:pPr>
            <w:r>
              <w:rPr>
                <w:rFonts w:ascii="Inter" w:cs="Inter" w:eastAsia="Inter" w:hAnsi="Inter"/>
                <w:b/>
                <w:bCs/>
                <w:color w:val="1A736A"/>
                <w:sz w:val="21"/>
                <w:szCs w:val="21"/>
              </w:rPr>
              <w:t xml:space="preserve">SOBRE ESTE DOCUMENTO</w:t>
            </w:r>
          </w:p>
          <w:p>
            <w:pPr>
              <w:jc w:val="both"/>
            </w:pPr>
            <w:r>
              <w:rPr>
                <w:rFonts w:ascii="Inter" w:cs="Inter" w:eastAsia="Inter" w:hAnsi="Inter"/>
                <w:color w:val="4A4A4A"/>
                <w:sz w:val="20"/>
                <w:szCs w:val="20"/>
              </w:rPr>
              <w:t xml:space="preserve">Complementa o capítulo financeiro do Modelo de Negócio com análise granular de TCO (Total Cost of Ownership), comparativo detalhado entre stacks alternativas com custo por usuário, modelagem de custos por faixa de usuários (100 a 200.000), análise de sensibilidade, mapa de riscos financeiros, e estratégia de financiamento com editais e grants específicos. Referência para 3TA-G3 (Negócio) e coordenação.</w:t>
            </w:r>
          </w:p>
        </w:tc>
      </w:tr>
    </w:tbl>
    <w:p>
      <w:r>
        <w:br w:type="page"/>
      </w:r>
    </w:p>
    <w:p>
      <w:pPr>
        <w:pStyle w:val="Heading1"/>
        <w:spacing w:after="200" w:before="360"/>
      </w:pPr>
      <w:r>
        <w:rPr>
          <w:rFonts w:ascii="Inter" w:cs="Inter" w:eastAsia="Inter" w:hAnsi="Inter"/>
          <w:b/>
          <w:bCs/>
          <w:color w:val="1A736A"/>
          <w:sz w:val="32"/>
          <w:szCs w:val="32"/>
        </w:rPr>
        <w:t xml:space="preserve">1. TCO — TOTAL COST OF OWNERSHIP</w:t>
      </w:r>
    </w:p>
    <w:p>
      <w:pPr>
        <w:pStyle w:val="Heading2"/>
        <w:spacing w:after="160" w:before="280"/>
      </w:pPr>
      <w:r>
        <w:rPr>
          <w:rFonts w:ascii="Inter" w:cs="Inter" w:eastAsia="Inter" w:hAnsi="Inter"/>
          <w:b/>
          <w:bCs/>
          <w:color w:val="3E8C8C"/>
          <w:sz w:val="26"/>
          <w:szCs w:val="26"/>
        </w:rPr>
        <w:t xml:space="preserve">1.1 TCO por Fase (Visão Consolidada)</w:t>
      </w:r>
    </w:p>
    <w:p>
      <w:pPr>
        <w:spacing w:after="120"/>
        <w:jc w:val="both"/>
      </w:pPr>
      <w:r>
        <w:rPr>
          <w:rFonts w:ascii="Inter" w:cs="Inter" w:eastAsia="Inter" w:hAnsi="Inter"/>
          <w:b w:val="false"/>
          <w:bCs w:val="false"/>
          <w:i w:val="false"/>
          <w:iCs w:val="false"/>
          <w:color w:val="4A4A4A"/>
          <w:sz w:val="21"/>
          <w:szCs w:val="21"/>
        </w:rPr>
        <w:t xml:space="preserve">O TCO inclui todos os custos diretos e indiretos para manter o EcoMed operando. Os valores abaixo consideram a stack atual (Next.js + Supabase + Ollama + Cloudflare):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700"/>
        <w:gridCol w:w="23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Categoria</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MVP (12 sem)</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V1.0 (6 meses)</w:t>
            </w:r>
          </w:p>
        </w:tc>
        <w:tc>
          <w:tcPr>
            <w:tcW w:type="dxa" w:w="17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V2.0 (12 meses)</w:t>
            </w:r>
          </w:p>
        </w:tc>
        <w:tc>
          <w:tcPr>
            <w:tcW w:type="dxa" w:w="23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Comercial (refer.)</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Hospedagem frontend</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 (Vercel free)</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R$ 600 (Vercel Pro)</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R$ 6.000 (Vercel Team)</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R$ 12.000</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Banco de dados</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 (Supabase free)</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R$ 750 (Supabase Pro)</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R$ 6.000 (Supabase Team)</w:t>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R$ 12.000</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IA / Ollama</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 (Oracle free tier)</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 (Oracle free tier)</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R$ 3.000 (VPS dedicada)</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R$ 36.000</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CDN + WAF + DNS</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 (Cloudflare free)</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 (Cloudflare free)</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R$ 12.000 (CF Business)</w:t>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R$ 24.000</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Cache (Redis)</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 (Upstash free)</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 (Upstash free)</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R$ 600 (Upstash Pro)</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R$ 1.200</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Domínio</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R$ 10,50 (3 meses)</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R$ 21 (6 meses)</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R$ 42 (12 meses)</w:t>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R$ 42</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E-mail profissional</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R$ 180 (Google Workspace)</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R$ 360</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R$ 360</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Monitoramento</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 (UptimeRobot free)</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R$ 1.800 (Sentry + Grafana)</w:t>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R$ 3.600</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Marketing / Ads</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R$ 6.000</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R$ 24.000</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Design (logo profissional)</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 (feito internamente)</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R$ 2.000 (único)</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R$ 3.000</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Equipe (se comercial)</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 (alunos)</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 (alunos)</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 (alunos)</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R$ 468.000</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TOTAL</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~R$ 11</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~R$ 3.551</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~R$ 35.802</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~R$ 584.202</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CUSTO / MÊS</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~R$ 592</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~R$ 2.984</w:t>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~R$ 48.684</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4A645" w:sz="4"/>
              <w:left w:val="none" w:sz="0"/>
              <w:bottom w:val="none" w:sz="0"/>
              <w:right w:val="none" w:sz="0"/>
            </w:tcBorders>
            <w:shd w:fill="F5F4F2" w:val="clear"/>
            <w:tcMar>
              <w:top w:type="dxa" w:w="120"/>
              <w:left w:type="dxa" w:w="200"/>
              <w:bottom w:type="dxa" w:w="120"/>
              <w:right w:type="dxa" w:w="200"/>
            </w:tcMar>
          </w:tcPr>
          <w:p>
            <w:pPr>
              <w:spacing w:after="60"/>
            </w:pPr>
            <w:r>
              <w:rPr>
                <w:rFonts w:ascii="Inter" w:cs="Inter" w:eastAsia="Inter" w:hAnsi="Inter"/>
                <w:b/>
                <w:bCs/>
                <w:color w:val="1A736A"/>
                <w:sz w:val="21"/>
                <w:szCs w:val="21"/>
              </w:rPr>
              <w:t xml:space="preserve">DESTAQUE</w:t>
            </w:r>
          </w:p>
          <w:p>
            <w:pPr>
              <w:jc w:val="both"/>
            </w:pPr>
            <w:r>
              <w:rPr>
                <w:rFonts w:ascii="Inter" w:cs="Inter" w:eastAsia="Inter" w:hAnsi="Inter"/>
                <w:color w:val="4A4A4A"/>
                <w:sz w:val="20"/>
                <w:szCs w:val="20"/>
              </w:rPr>
              <w:t xml:space="preserve">O MVP do EcoMed custa R$ 11 em 12 semanas (R$ 4/mês). A mesma plataforma, se desenvolvida por equipe comercial, custaria R$ 584.000 no mesmo período. O modelo acadêmico reduz o custo em 99,998%.</w:t>
            </w:r>
          </w:p>
        </w:tc>
      </w:tr>
    </w:tbl>
    <w:p>
      <w:pPr>
        <w:spacing w:after="200"/>
      </w:pPr>
    </w:p>
    <w:p>
      <w:pPr>
        <w:pStyle w:val="Heading2"/>
        <w:spacing w:after="160" w:before="280"/>
      </w:pPr>
      <w:r>
        <w:rPr>
          <w:rFonts w:ascii="Inter" w:cs="Inter" w:eastAsia="Inter" w:hAnsi="Inter"/>
          <w:b/>
          <w:bCs/>
          <w:color w:val="3E8C8C"/>
          <w:sz w:val="26"/>
          <w:szCs w:val="26"/>
        </w:rPr>
        <w:t xml:space="preserve">1.2 Custo por Usuário</w:t>
      </w:r>
    </w:p>
    <w:p>
      <w:pPr>
        <w:spacing w:after="120"/>
        <w:jc w:val="both"/>
      </w:pPr>
      <w:r>
        <w:rPr>
          <w:rFonts w:ascii="Inter" w:cs="Inter" w:eastAsia="Inter" w:hAnsi="Inter"/>
          <w:b w:val="false"/>
          <w:bCs w:val="false"/>
          <w:i w:val="false"/>
          <w:iCs w:val="false"/>
          <w:color w:val="4A4A4A"/>
          <w:sz w:val="21"/>
          <w:szCs w:val="21"/>
        </w:rPr>
        <w:t xml:space="preserve">Métrica crítica para avaliar sustentabilidade: quanto custa manter cada usuário na plataforma.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2000"/>
        <w:gridCol w:w="2826"/>
      </w:tblGrid>
      <w:tr>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Fase</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Usuários</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Custo/mês</w:t>
            </w:r>
          </w:p>
        </w:tc>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Custo/usuário/mês</w:t>
            </w:r>
          </w:p>
        </w:tc>
        <w:tc>
          <w:tcPr>
            <w:tcW w:type="dxa" w:w="28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Benchmark</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MVP</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100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R$ 0,04</w:t>
            </w:r>
          </w:p>
        </w:tc>
        <w:tc>
          <w:tcPr>
            <w:tcW w:type="dxa" w:w="2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Apps típicos: R$ 2–10/usuário</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V1.0</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1.000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R$ 592</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R$ 0,59</w:t>
            </w:r>
          </w:p>
        </w:tc>
        <w:tc>
          <w:tcPr>
            <w:tcW w:type="dxa" w:w="2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Excelente: &lt; R$ 1</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V2.0</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10.000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R$ 2.984</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R$ 0,30</w:t>
            </w:r>
          </w:p>
        </w:tc>
        <w:tc>
          <w:tcPr>
            <w:tcW w:type="dxa" w:w="2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Ótimo: economia de escala</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Escala</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50.000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~R$ 5.000 (est.)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R$ 0,10</w:t>
            </w:r>
          </w:p>
        </w:tc>
        <w:tc>
          <w:tcPr>
            <w:tcW w:type="dxa" w:w="2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Excepcional</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Hipotético comercial</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10.000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R$ 48.684</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R$ 4,87</w:t>
            </w:r>
          </w:p>
        </w:tc>
        <w:tc>
          <w:tcPr>
            <w:tcW w:type="dxa" w:w="2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Dentro do padrão de mercado</w:t>
            </w:r>
          </w:p>
        </w:tc>
      </w:tr>
    </w:tbl>
    <w:p>
      <w:pPr>
        <w:spacing w:after="120"/>
      </w:pPr>
    </w:p>
    <w:p>
      <w:pPr>
        <w:spacing w:after="120"/>
        <w:jc w:val="both"/>
      </w:pPr>
      <w:r>
        <w:rPr>
          <w:rFonts w:ascii="Inter" w:cs="Inter" w:eastAsia="Inter" w:hAnsi="Inter"/>
          <w:b/>
          <w:bCs/>
          <w:i w:val="false"/>
          <w:iCs w:val="false"/>
          <w:color w:val="4A4A4A"/>
          <w:sz w:val="21"/>
          <w:szCs w:val="21"/>
        </w:rPr>
        <w:t xml:space="preserve">O custo por usuário DIMINUI conforme a base cresce, porque os custos fixos (domínio, e-mail, monitoramento) se diluem e os free tiers cobrem a maior parte da infraestrutura variável até certo ponto.</w:t>
      </w:r>
    </w:p>
    <w:p>
      <w:r>
        <w:br w:type="page"/>
      </w:r>
    </w:p>
    <w:p>
      <w:pPr>
        <w:pStyle w:val="Heading1"/>
        <w:spacing w:after="200" w:before="360"/>
      </w:pPr>
      <w:r>
        <w:rPr>
          <w:rFonts w:ascii="Inter" w:cs="Inter" w:eastAsia="Inter" w:hAnsi="Inter"/>
          <w:b/>
          <w:bCs/>
          <w:color w:val="1A736A"/>
          <w:sz w:val="32"/>
          <w:szCs w:val="32"/>
        </w:rPr>
        <w:t xml:space="preserve">2. COMPARATIVO DE STACKS</w:t>
      </w:r>
    </w:p>
    <w:p>
      <w:pPr>
        <w:pStyle w:val="Heading2"/>
        <w:spacing w:after="160" w:before="280"/>
      </w:pPr>
      <w:r>
        <w:rPr>
          <w:rFonts w:ascii="Inter" w:cs="Inter" w:eastAsia="Inter" w:hAnsi="Inter"/>
          <w:b/>
          <w:bCs/>
          <w:color w:val="3E8C8C"/>
          <w:sz w:val="26"/>
          <w:szCs w:val="26"/>
        </w:rPr>
        <w:t xml:space="preserve">2.1 Stack Atual vs Alternativas</w:t>
      </w:r>
    </w:p>
    <w:p>
      <w:pPr>
        <w:spacing w:after="120"/>
        <w:jc w:val="both"/>
      </w:pPr>
      <w:r>
        <w:rPr>
          <w:rFonts w:ascii="Inter" w:cs="Inter" w:eastAsia="Inter" w:hAnsi="Inter"/>
          <w:b w:val="false"/>
          <w:bCs w:val="false"/>
          <w:i w:val="false"/>
          <w:iCs w:val="false"/>
          <w:color w:val="4A4A4A"/>
          <w:sz w:val="21"/>
          <w:szCs w:val="21"/>
        </w:rPr>
        <w:t xml:space="preserve">Para validar que a stack escolhida é a mais eficiente, comparamos com 3 alternativas viáveis:</w:t>
      </w:r>
    </w:p>
    <w:p>
      <w:pPr>
        <w:spacing w:after="120"/>
      </w:pPr>
    </w:p>
    <w:p>
      <w:pPr>
        <w:pStyle w:val="Heading3"/>
        <w:spacing w:after="120" w:before="200"/>
      </w:pPr>
      <w:r>
        <w:rPr>
          <w:rFonts w:ascii="Inter" w:cs="Inter" w:eastAsia="Inter" w:hAnsi="Inter"/>
          <w:b/>
          <w:bCs/>
          <w:color w:val="1A1A1A"/>
          <w:sz w:val="22"/>
          <w:szCs w:val="22"/>
        </w:rPr>
        <w:t xml:space="preserve">Opção A: Stack Atual (Escolhida)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1500"/>
        <w:gridCol w:w="18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Componente</w:t>
            </w:r>
          </w:p>
        </w:tc>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Serviço</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 MVP</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 V1.0/mês</w:t>
            </w:r>
          </w:p>
        </w:tc>
        <w:tc>
          <w:tcPr>
            <w:tcW w:type="dxa" w:w="18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 V2.0/mês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Frontend</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Vercel (Next.js 15)</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R$ 100</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R$ 500</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Banco de dados</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Supabase (PostgreSQL + Auth + pgvector)</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R$ 125</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R$ 500</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IA</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Oracle Cloud Free (Ollama + Llama 3)</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R$ 250</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CDN/WAF</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Cloudflare (DNS + SSL + CDN + R2)</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R$ 1.000</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Cache</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Upstash Redis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R$ 50</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Mapa</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OpenStreetMap (tiles gratuitos)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TOTAL MENSAL</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R$ 228</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R$ 2.300</w:t>
            </w:r>
          </w:p>
        </w:tc>
      </w:tr>
    </w:tbl>
    <w:p>
      <w:pPr>
        <w:spacing w:after="120"/>
      </w:pPr>
    </w:p>
    <w:p>
      <w:pPr>
        <w:pStyle w:val="Heading3"/>
        <w:spacing w:after="120" w:before="200"/>
      </w:pPr>
      <w:r>
        <w:rPr>
          <w:rFonts w:ascii="Inter" w:cs="Inter" w:eastAsia="Inter" w:hAnsi="Inter"/>
          <w:b/>
          <w:bCs/>
          <w:color w:val="1A1A1A"/>
          <w:sz w:val="22"/>
          <w:szCs w:val="22"/>
        </w:rPr>
        <w:t xml:space="preserve">Opção B: VPS Self-Hosted (Contabo)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1500"/>
        <w:gridCol w:w="18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Componente</w:t>
            </w:r>
          </w:p>
        </w:tc>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Serviço</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 MVP</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 V1.0/mês</w:t>
            </w:r>
          </w:p>
        </w:tc>
        <w:tc>
          <w:tcPr>
            <w:tcW w:type="dxa" w:w="18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 V2.0/mês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Tudo-em-um</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Contabo VPS Cloud VPS S (8GB RAM)</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R$ 40</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R$ 40</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 VPS para IA</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Contabo Cloud VPS M (16GB RAM)</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 (mesmo VPS)</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R$ 55</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R$ 55</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Domínio + SSL</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Cloudflare free + Registro.br</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Backup</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Contabo snapshot</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R$ 10</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R$ 10</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TOTAL MENSAL</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R$ 44</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R$ 109</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R$ 109</w:t>
            </w:r>
          </w:p>
        </w:tc>
      </w:tr>
    </w:tbl>
    <w:p>
      <w:pPr>
        <w:spacing w:after="120"/>
      </w:pPr>
    </w:p>
    <w:p>
      <w:pPr>
        <w:spacing w:after="120"/>
        <w:jc w:val="both"/>
      </w:pPr>
      <w:r>
        <w:rPr>
          <w:rFonts w:ascii="Inter" w:cs="Inter" w:eastAsia="Inter" w:hAnsi="Inter"/>
          <w:b w:val="false"/>
          <w:bCs w:val="false"/>
          <w:i/>
          <w:iCs/>
          <w:color w:val="4A4A4A"/>
          <w:sz w:val="21"/>
          <w:szCs w:val="21"/>
        </w:rPr>
        <w:t xml:space="preserve">Prós: custo previsível, controle total, sem limites de free tier. Contras: requer manutenção de servidor (updates, segurança, backups), single point of failure, sem auto-scaling, deploy manual.</w:t>
      </w:r>
    </w:p>
    <w:p>
      <w:pPr>
        <w:spacing w:after="120"/>
      </w:pPr>
    </w:p>
    <w:p>
      <w:pPr>
        <w:pStyle w:val="Heading3"/>
        <w:spacing w:after="120" w:before="200"/>
      </w:pPr>
      <w:r>
        <w:rPr>
          <w:rFonts w:ascii="Inter" w:cs="Inter" w:eastAsia="Inter" w:hAnsi="Inter"/>
          <w:b/>
          <w:bCs/>
          <w:color w:val="1A1A1A"/>
          <w:sz w:val="22"/>
          <w:szCs w:val="22"/>
        </w:rPr>
        <w:t xml:space="preserve">Opção C: Cloud Nativa (AWS / GCP)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1500"/>
        <w:gridCol w:w="18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Componente</w:t>
            </w:r>
          </w:p>
        </w:tc>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Serviço</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 MVP</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 V1.0/mês</w:t>
            </w:r>
          </w:p>
        </w:tc>
        <w:tc>
          <w:tcPr>
            <w:tcW w:type="dxa" w:w="18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 V2.0/mês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Frontend</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AWS Amplify ou GCP Cloud Run</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 (free tier)</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R$ 50</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R$ 300</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Banco de dados</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AWS RDS PostgreSQL ou GCP Cloud SQL</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R$ 75</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R$ 150</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R$ 600</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IA</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AWS EC2 g4dn.xlarge (GPU) ou GCP A2</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R$ 300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R$ 300</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R$ 600</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CDN</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CloudFront ou Cloud CDN</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 (free tier)</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R$ 30</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R$ 150</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Cache</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ElastiCache ou Memorystore</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R$ 50</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R$ 100</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TOTAL MENSAL</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R$ 425</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R$ 580</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R$ 1.750</w:t>
            </w:r>
          </w:p>
        </w:tc>
      </w:tr>
    </w:tbl>
    <w:p>
      <w:pPr>
        <w:spacing w:after="120"/>
      </w:pPr>
    </w:p>
    <w:p>
      <w:pPr>
        <w:spacing w:after="120"/>
        <w:jc w:val="both"/>
      </w:pPr>
      <w:r>
        <w:rPr>
          <w:rFonts w:ascii="Inter" w:cs="Inter" w:eastAsia="Inter" w:hAnsi="Inter"/>
          <w:b w:val="false"/>
          <w:bCs w:val="false"/>
          <w:i/>
          <w:iCs/>
          <w:color w:val="4A4A4A"/>
          <w:sz w:val="21"/>
          <w:szCs w:val="21"/>
        </w:rPr>
        <w:t xml:space="preserve">Prós: auto-scaling, managed services, SLA garantido. Contras: custo alto no MVP (inviável para projeto acadêmico), complexidade de configuração, billing imprevisível.</w:t>
      </w:r>
    </w:p>
    <w:p>
      <w:pPr>
        <w:spacing w:after="120"/>
      </w:pPr>
    </w:p>
    <w:p>
      <w:pPr>
        <w:pStyle w:val="Heading3"/>
        <w:spacing w:after="120" w:before="200"/>
      </w:pPr>
      <w:r>
        <w:rPr>
          <w:rFonts w:ascii="Inter" w:cs="Inter" w:eastAsia="Inter" w:hAnsi="Inter"/>
          <w:b/>
          <w:bCs/>
          <w:color w:val="1A1A1A"/>
          <w:sz w:val="22"/>
          <w:szCs w:val="22"/>
        </w:rPr>
        <w:t xml:space="preserve">Opção D: APIs Pagas de IA (OpenAI / Anthropic)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1500"/>
        <w:gridCol w:w="18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Componente</w:t>
            </w:r>
          </w:p>
        </w:tc>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Serviço</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 MVP</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 V1.0/mês</w:t>
            </w:r>
          </w:p>
        </w:tc>
        <w:tc>
          <w:tcPr>
            <w:tcW w:type="dxa" w:w="18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 V2.0/mês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Frontend</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Vercel (mesmo da Opção A)</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R$ 100</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R$ 500</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Banco de dados</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Supabase (mesmo da Opção A)</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R$ 125</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R$ 500</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IA (API)</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OpenAI GPT-4o-mini ($0.15/1M tokens in, $0.60/1M out)</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R$ 150</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R$ 800</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CDN/WAF</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Cloudflare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R$ 1.000</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TOTAL MENSAL</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R$ 34</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R$ 379</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R$ 2.800</w:t>
            </w:r>
          </w:p>
        </w:tc>
      </w:tr>
    </w:tbl>
    <w:p>
      <w:pPr>
        <w:spacing w:after="120"/>
      </w:pPr>
    </w:p>
    <w:p>
      <w:pPr>
        <w:spacing w:after="120"/>
        <w:jc w:val="both"/>
      </w:pPr>
      <w:r>
        <w:rPr>
          <w:rFonts w:ascii="Inter" w:cs="Inter" w:eastAsia="Inter" w:hAnsi="Inter"/>
          <w:b w:val="false"/>
          <w:bCs w:val="false"/>
          <w:i/>
          <w:iCs/>
          <w:color w:val="4A4A4A"/>
          <w:sz w:val="21"/>
          <w:szCs w:val="21"/>
        </w:rPr>
        <w:t xml:space="preserve">Prós: melhor qualidade de respostas (GPT-4o), sem gerenciar servidor de IA. Contras: custo variável (depende do volume de mensagens), dados enviados a terceiro (privacidade), dependência de API externa (downtime), custo explode com escala.</w:t>
      </w:r>
    </w:p>
    <w:p>
      <w:pPr>
        <w:spacing w:after="200"/>
      </w:pPr>
    </w:p>
    <w:p>
      <w:pPr>
        <w:pStyle w:val="Heading2"/>
        <w:spacing w:after="160" w:before="280"/>
      </w:pPr>
      <w:r>
        <w:rPr>
          <w:rFonts w:ascii="Inter" w:cs="Inter" w:eastAsia="Inter" w:hAnsi="Inter"/>
          <w:b/>
          <w:bCs/>
          <w:color w:val="3E8C8C"/>
          <w:sz w:val="26"/>
          <w:szCs w:val="26"/>
        </w:rPr>
        <w:t xml:space="preserve">2.2 Matriz Comparativa Consolidada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Critério</w:t>
            </w:r>
          </w:p>
        </w:tc>
        <w:tc>
          <w:tcPr>
            <w:tcW w:type="dxa" w:w="18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 Atual (Escolhida)</w:t>
            </w:r>
          </w:p>
        </w:tc>
        <w:tc>
          <w:tcPr>
            <w:tcW w:type="dxa" w:w="18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B: VPS Contabo</w:t>
            </w:r>
          </w:p>
        </w:tc>
        <w:tc>
          <w:tcPr>
            <w:tcW w:type="dxa" w:w="18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 AWS/GCP</w:t>
            </w:r>
          </w:p>
        </w:tc>
        <w:tc>
          <w:tcPr>
            <w:tcW w:type="dxa" w:w="18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 API OpenAI</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Custo MVP/mês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R$ 44</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R$ 425</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R$ 34</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Custo V1.0/mês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R$ 228</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R$ 109 ✅</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R$ 580</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R$ 379</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Custo V2.0/mês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R$ 2.300</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R$ 109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R$ 1.750</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R$ 2.800</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Custo previsível?</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Parcial (free tiers podem mudar)</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Sim (fixo)</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Não (pay-as-you-go)</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Não (varia com uso)</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Privacidade dos dados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Total (IA local)</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Total (self-hosted)</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Dados na nuvem</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Dados enviados à OpenAI</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Manutenção necessária</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Mínima (managed)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Alta (tudo manual)</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Média (managed mas complexo)</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Mínima</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Auto-scaling</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Vercel Edge + Supabase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Manual</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Nativo</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API escala automático</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Tempo de setup</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Rápido (1-2 dias)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Médio (3-5 dias)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Lento (1-2 semanas)</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Rápido (1 dia)</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Risco de vendor lock-in</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Médio (Supabase é PostgreSQL padrão)</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Baixo</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Alto (AWS/GCP específico)</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Alto (API OpenAI)</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LGPD compliance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IA local + docs prontos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Controle total</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Transferência internacional</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Dados fora do Brasil</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Qualidade da IA</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Boa (Llama 3 8B)</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Boa (Llama 3 8B)</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Boa (Llama 3 8B)</w:t>
            </w:r>
          </w:p>
        </w:tc>
        <w:tc>
          <w:tcPr>
            <w:tcW w:type="dxa" w:w="1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Excelente (GPT-4o)</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VEREDICTO</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MELHOR PARA MVP ✅</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MELHOR CUSTO-BENEFÍCIO V1.0+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OVERENGINEERED</w:t>
            </w:r>
          </w:p>
        </w:tc>
        <w:tc>
          <w:tcPr>
            <w:tcW w:type="dxa" w:w="1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BOM MAS CARO + PRIVACIDADE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4A645" w:sz="4"/>
              <w:left w:val="none" w:sz="0"/>
              <w:bottom w:val="none" w:sz="0"/>
              <w:right w:val="none" w:sz="0"/>
            </w:tcBorders>
            <w:shd w:fill="F5F4F2" w:val="clear"/>
            <w:tcMar>
              <w:top w:type="dxa" w:w="120"/>
              <w:left w:type="dxa" w:w="200"/>
              <w:bottom w:type="dxa" w:w="120"/>
              <w:right w:type="dxa" w:w="200"/>
            </w:tcMar>
          </w:tcPr>
          <w:p>
            <w:pPr>
              <w:spacing w:after="60"/>
            </w:pPr>
            <w:r>
              <w:rPr>
                <w:rFonts w:ascii="Inter" w:cs="Inter" w:eastAsia="Inter" w:hAnsi="Inter"/>
                <w:b/>
                <w:bCs/>
                <w:color w:val="1A736A"/>
                <w:sz w:val="21"/>
                <w:szCs w:val="21"/>
              </w:rPr>
              <w:t xml:space="preserve">CONCLUSÃO DO COMPARATIVO</w:t>
            </w:r>
          </w:p>
          <w:p>
            <w:pPr>
              <w:jc w:val="both"/>
            </w:pPr>
            <w:r>
              <w:rPr>
                <w:rFonts w:ascii="Inter" w:cs="Inter" w:eastAsia="Inter" w:hAnsi="Inter"/>
                <w:color w:val="4A4A4A"/>
                <w:sz w:val="20"/>
                <w:szCs w:val="20"/>
              </w:rPr>
              <w:t xml:space="preserve">A Stack A (atual) é a melhor escolha para o MVP por custo quase zero e setup rápido. Para V1.0+, considerar migração híbrida: manter Vercel + Supabase mas mover Ollama para Contabo VPS (R$ 55/mês) em vez de depender do Oracle Cloud Free Tier. A Opção D (OpenAI) é descartada por questões de privacidade (LGPD) e custo variável.</w:t>
            </w:r>
          </w:p>
        </w:tc>
      </w:tr>
    </w:tbl>
    <w:p>
      <w:pPr>
        <w:spacing w:after="200"/>
      </w:pPr>
    </w:p>
    <w:p>
      <w:pPr>
        <w:pStyle w:val="Heading2"/>
        <w:spacing w:after="160" w:before="280"/>
      </w:pPr>
      <w:r>
        <w:rPr>
          <w:rFonts w:ascii="Inter" w:cs="Inter" w:eastAsia="Inter" w:hAnsi="Inter"/>
          <w:b/>
          <w:bCs/>
          <w:color w:val="3E8C8C"/>
          <w:sz w:val="26"/>
          <w:szCs w:val="26"/>
        </w:rPr>
        <w:t xml:space="preserve">2.3 Plano de Migração Recomendado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200"/>
        <w:gridCol w:w="1426"/>
      </w:tblGrid>
      <w:tr>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Fase</w:t>
            </w:r>
          </w:p>
        </w:tc>
        <w:tc>
          <w:tcPr>
            <w:tcW w:type="dxa" w:w="3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Stack</w:t>
            </w:r>
          </w:p>
        </w:tc>
        <w:tc>
          <w:tcPr>
            <w:tcW w:type="dxa" w:w="3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Motivo da Mudança</w:t>
            </w:r>
          </w:p>
        </w:tc>
        <w:tc>
          <w:tcPr>
            <w:tcW w:type="dxa" w:w="14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Custo/mês</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MVP (semanas 1-12)</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Stack A: Vercel free + Supabase free + Oracle free + Cloudflare free</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Custo zero, setup rápido, validar o produto</w:t>
            </w:r>
          </w:p>
        </w:tc>
        <w:tc>
          <w:tcPr>
            <w:tcW w:type="dxa" w:w="14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V1.0 (mês 4-6)</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Stack A + Supabase Pro + Contabo VPS para Ollama (substituir Oracle)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Oracle free tier instável; Supabase free pausa após 7 dias inativo</w:t>
            </w:r>
          </w:p>
        </w:tc>
        <w:tc>
          <w:tcPr>
            <w:tcW w:type="dxa" w:w="1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R$ 240</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V2.0 (mês 7-12)</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Vercel Team + Supabase Team + Contabo VPS + Cloudflare Pro + Sentry</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Escala: 10k usuários, precisa performance e observabilidade</w:t>
            </w:r>
          </w:p>
        </w:tc>
        <w:tc>
          <w:tcPr>
            <w:tcW w:type="dxa" w:w="14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R$ 1.200</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Escala (ano 2+)</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Avaliar: migrar Ollama para GPU cloud se demanda justificar, ou testar modelos menores (Phi-3)</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Otimizar custo/performance da IA</w:t>
            </w:r>
          </w:p>
        </w:tc>
        <w:tc>
          <w:tcPr>
            <w:tcW w:type="dxa" w:w="14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R$ 2.000–3.000</w:t>
            </w:r>
          </w:p>
        </w:tc>
      </w:tr>
    </w:tbl>
    <w:p>
      <w:r>
        <w:br w:type="page"/>
      </w:r>
    </w:p>
    <w:p>
      <w:pPr>
        <w:pStyle w:val="Heading1"/>
        <w:spacing w:after="200" w:before="360"/>
      </w:pPr>
      <w:r>
        <w:rPr>
          <w:rFonts w:ascii="Inter" w:cs="Inter" w:eastAsia="Inter" w:hAnsi="Inter"/>
          <w:b/>
          <w:bCs/>
          <w:color w:val="1A736A"/>
          <w:sz w:val="32"/>
          <w:szCs w:val="32"/>
        </w:rPr>
        <w:t xml:space="preserve">3. MODELAGEM POR FAIXA DE USUÁRIOS</w:t>
      </w:r>
    </w:p>
    <w:p>
      <w:pPr>
        <w:pStyle w:val="Heading2"/>
        <w:spacing w:after="160" w:before="280"/>
      </w:pPr>
      <w:r>
        <w:rPr>
          <w:rFonts w:ascii="Inter" w:cs="Inter" w:eastAsia="Inter" w:hAnsi="Inter"/>
          <w:b/>
          <w:bCs/>
          <w:color w:val="3E8C8C"/>
          <w:sz w:val="26"/>
          <w:szCs w:val="26"/>
        </w:rPr>
        <w:t xml:space="preserve">3.1 Custo Projetado por Faixa</w:t>
      </w:r>
    </w:p>
    <w:p>
      <w:pPr>
        <w:spacing w:after="120"/>
        <w:jc w:val="both"/>
      </w:pPr>
      <w:r>
        <w:rPr>
          <w:rFonts w:ascii="Inter" w:cs="Inter" w:eastAsia="Inter" w:hAnsi="Inter"/>
          <w:b w:val="false"/>
          <w:bCs w:val="false"/>
          <w:i w:val="false"/>
          <w:iCs w:val="false"/>
          <w:color w:val="4A4A4A"/>
          <w:sz w:val="21"/>
          <w:szCs w:val="21"/>
        </w:rPr>
        <w:t xml:space="preserve">Projeção de custos para diferentes cenários de crescimento, considerando a stack recomendada: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300"/>
        <w:gridCol w:w="1500"/>
        <w:gridCol w:w="1500"/>
        <w:gridCol w:w="2626"/>
      </w:tblGrid>
      <w:tr>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Usuários</w:t>
            </w:r>
          </w:p>
        </w:tc>
        <w:tc>
          <w:tcPr>
            <w:tcW w:type="dxa" w:w="9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DAU (est.)</w:t>
            </w:r>
          </w:p>
        </w:tc>
        <w:tc>
          <w:tcPr>
            <w:tcW w:type="dxa" w:w="13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Msgs chat/mês</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 infra/mês</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Custo/usuário/mês</w:t>
            </w:r>
          </w:p>
        </w:tc>
        <w:tc>
          <w:tcPr>
            <w:tcW w:type="dxa" w:w="26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Bottleneck principal</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100</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20</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500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R$ 0,04</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Nenhum (free tiers cobrem)</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500</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80</w:t>
            </w:r>
          </w:p>
        </w:tc>
        <w:tc>
          <w:tcPr>
            <w:tcW w:type="dxa" w:w="1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2.500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R$ 0,008</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Supabase free (500MB) pode encher</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1.000</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150</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5.000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R$ 240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R$ 0,24</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Ollama single-instance pode ficar lento</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5.000</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750</w:t>
            </w:r>
          </w:p>
        </w:tc>
        <w:tc>
          <w:tcPr>
            <w:tcW w:type="dxa" w:w="1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25.000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R$ 600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R$ 0,12</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Queue de requests para Ollama; Redis ajuda</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10.000</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1.500</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50.000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R$ 1.200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R$ 0,12</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Supabase read replicas; Ollama queue + cache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50.000</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7.500</w:t>
            </w:r>
          </w:p>
        </w:tc>
        <w:tc>
          <w:tcPr>
            <w:tcW w:type="dxa" w:w="1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250.000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R$ 3.000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R$ 0,06</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Múltiplas instâncias Ollama; CDN crítico</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200.000</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30.000</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1.000.000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R$ 8.000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R$ 0,04</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GPU cloud para IA; PostgreSQL cluster</w:t>
            </w:r>
          </w:p>
        </w:tc>
      </w:tr>
    </w:tbl>
    <w:p>
      <w:pPr>
        <w:spacing w:after="200"/>
      </w:pPr>
    </w:p>
    <w:p>
      <w:pPr>
        <w:pStyle w:val="Heading2"/>
        <w:spacing w:after="160" w:before="280"/>
      </w:pPr>
      <w:r>
        <w:rPr>
          <w:rFonts w:ascii="Inter" w:cs="Inter" w:eastAsia="Inter" w:hAnsi="Inter"/>
          <w:b/>
          <w:bCs/>
          <w:color w:val="3E8C8C"/>
          <w:sz w:val="26"/>
          <w:szCs w:val="26"/>
        </w:rPr>
        <w:t xml:space="preserve">3.2 Bottlenecks e Soluções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800"/>
        <w:gridCol w:w="2300"/>
        <w:gridCol w:w="2226"/>
      </w:tblGrid>
      <w:tr>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Bottleneck</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Quando Aparece</w:t>
            </w:r>
          </w:p>
        </w:tc>
        <w:tc>
          <w:tcPr>
            <w:tcW w:type="dxa" w:w="18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Sintoma</w:t>
            </w:r>
          </w:p>
        </w:tc>
        <w:tc>
          <w:tcPr>
            <w:tcW w:type="dxa" w:w="23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Solução</w:t>
            </w:r>
          </w:p>
        </w:tc>
        <w:tc>
          <w:tcPr>
            <w:tcW w:type="dxa" w:w="22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 da Solução</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Supabase free tier (500MB)</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~500 usuários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Banco pausa após 7 dias inativo; espaço acaba</w:t>
            </w:r>
          </w:p>
        </w:tc>
        <w:tc>
          <w:tcPr>
            <w:tcW w:type="dxa" w:w="2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Upgrade para Supabase Pro (8GB)</w:t>
            </w:r>
          </w:p>
        </w:tc>
        <w:tc>
          <w:tcPr>
            <w:tcW w:type="dxa" w:w="22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R$ 125/mês</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Oracle Cloud Free Tier instável</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~1.000 usuários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Instância desligada sem aviso; IP muda</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Migrar Ollama para Contabo VPS (16GB RAM)</w:t>
            </w:r>
          </w:p>
        </w:tc>
        <w:tc>
          <w:tcPr>
            <w:tcW w:type="dxa" w:w="2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R$ 55/mês</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Ollama single-instance</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~5.000 usuários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Chat demora &gt;10s; timeout em horário de pico</w:t>
            </w:r>
          </w:p>
        </w:tc>
        <w:tc>
          <w:tcPr>
            <w:tcW w:type="dxa" w:w="2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Redis queue + cache de respostas frequentes + modelo menor (Phi-3 para fallback)</w:t>
            </w:r>
          </w:p>
        </w:tc>
        <w:tc>
          <w:tcPr>
            <w:tcW w:type="dxa" w:w="22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R$ 50/mês (Upstash Pro)</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Vercel free bandwidth (100GB)</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~2.000 usuários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Site lento ou bloqueado no final do mês</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Upgrade para Vercel Pro (1TB)</w:t>
            </w:r>
          </w:p>
        </w:tc>
        <w:tc>
          <w:tcPr>
            <w:tcW w:type="dxa" w:w="2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R$ 100/mês</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PostgreSQL sem read replicas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~10.000 usuários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Queries de ranking e analytics lentas</w:t>
            </w:r>
          </w:p>
        </w:tc>
        <w:tc>
          <w:tcPr>
            <w:tcW w:type="dxa" w:w="23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Supabase Team com read replicas</w:t>
            </w:r>
          </w:p>
        </w:tc>
        <w:tc>
          <w:tcPr>
            <w:tcW w:type="dxa" w:w="22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R$ 500/mês</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Múltiplas instâncias Ollama</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~50.000 usuários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Uma instância não atende o volume</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Load balancer + 2-3 instâncias Ollama + GPU</w:t>
            </w:r>
          </w:p>
        </w:tc>
        <w:tc>
          <w:tcPr>
            <w:tcW w:type="dxa" w:w="2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R$ 1.500/mês</w:t>
            </w:r>
          </w:p>
        </w:tc>
      </w:tr>
    </w:tbl>
    <w:p>
      <w:pPr>
        <w:spacing w:after="200"/>
      </w:pPr>
    </w:p>
    <w:p>
      <w:pPr>
        <w:pStyle w:val="Heading2"/>
        <w:spacing w:after="160" w:before="280"/>
      </w:pPr>
      <w:r>
        <w:rPr>
          <w:rFonts w:ascii="Inter" w:cs="Inter" w:eastAsia="Inter" w:hAnsi="Inter"/>
          <w:b/>
          <w:bCs/>
          <w:color w:val="3E8C8C"/>
          <w:sz w:val="26"/>
          <w:szCs w:val="26"/>
        </w:rPr>
        <w:t xml:space="preserve">3.3 Custo Marginal por Novo Usuário</w:t>
      </w:r>
    </w:p>
    <w:p>
      <w:pPr>
        <w:spacing w:after="120"/>
        <w:jc w:val="both"/>
      </w:pPr>
      <w:r>
        <w:rPr>
          <w:rFonts w:ascii="Inter" w:cs="Inter" w:eastAsia="Inter" w:hAnsi="Inter"/>
          <w:b w:val="false"/>
          <w:bCs w:val="false"/>
          <w:i w:val="false"/>
          <w:iCs w:val="false"/>
          <w:color w:val="4A4A4A"/>
          <w:sz w:val="21"/>
          <w:szCs w:val="21"/>
        </w:rPr>
        <w:t xml:space="preserve">Quanto custa cada usuário adicional em cada faixa: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Faixa</w:t>
            </w:r>
          </w:p>
        </w:tc>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 marginal</w:t>
            </w:r>
          </w:p>
        </w:tc>
        <w:tc>
          <w:tcPr>
            <w:tcW w:type="dxa" w:w="55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Justificativa</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0 → 500</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 por usuário</w:t>
            </w:r>
          </w:p>
        </w:tc>
        <w:tc>
          <w:tcPr>
            <w:tcW w:type="dxa" w:w="5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Free tiers cobrem tudo. Custo incremental é zero.</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500 → 1.000</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~R$ 0,47 por usuário</w:t>
            </w:r>
          </w:p>
        </w:tc>
        <w:tc>
          <w:tcPr>
            <w:tcW w:type="dxa" w:w="5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Trigger: upgrade Supabase Pro (R$ 125) + Contabo VPS (R$ 55) + domínio = R$ 236 extra para 500 usuários</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1.000 → 5.000</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~R$ 0,09 por usuário</w:t>
            </w:r>
          </w:p>
        </w:tc>
        <w:tc>
          <w:tcPr>
            <w:tcW w:type="dxa" w:w="5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Custos fixos já absorvidos. Incremento: Upstash Pro + Vercel Pro = R$ 360 extra para 4.000 usuários</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5.000 → 10.000</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~R$ 0,12 por usuário</w:t>
            </w:r>
          </w:p>
        </w:tc>
        <w:tc>
          <w:tcPr>
            <w:tcW w:type="dxa" w:w="5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Supabase Team + monitoramento = R$ 600 extra para 5.000 usuários</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10.000 → 50.000</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~R$ 0,045 por usuário</w:t>
            </w:r>
          </w:p>
        </w:tc>
        <w:tc>
          <w:tcPr>
            <w:tcW w:type="dxa" w:w="5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Economia de escala real. Infra já robusta, custo cresce sublinearmente</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50.000+</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~R$ 0,03 por usuário</w:t>
            </w:r>
          </w:p>
        </w:tc>
        <w:tc>
          <w:tcPr>
            <w:tcW w:type="dxa" w:w="5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Otimização de cache + modelo menor reduzem custo de IA por request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4A645" w:sz="4"/>
              <w:left w:val="none" w:sz="0"/>
              <w:bottom w:val="none" w:sz="0"/>
              <w:right w:val="none" w:sz="0"/>
            </w:tcBorders>
            <w:shd w:fill="F5F4F2" w:val="clear"/>
            <w:tcMar>
              <w:top w:type="dxa" w:w="120"/>
              <w:left w:type="dxa" w:w="200"/>
              <w:bottom w:type="dxa" w:w="120"/>
              <w:right w:type="dxa" w:w="200"/>
            </w:tcMar>
          </w:tcPr>
          <w:p>
            <w:pPr>
              <w:spacing w:after="60"/>
            </w:pPr>
            <w:r>
              <w:rPr>
                <w:rFonts w:ascii="Inter" w:cs="Inter" w:eastAsia="Inter" w:hAnsi="Inter"/>
                <w:b/>
                <w:bCs/>
                <w:color w:val="1A736A"/>
                <w:sz w:val="21"/>
                <w:szCs w:val="21"/>
              </w:rPr>
              <w:t xml:space="preserve">INSIGHT CHAVE</w:t>
            </w:r>
          </w:p>
          <w:p>
            <w:pPr>
              <w:jc w:val="both"/>
            </w:pPr>
            <w:r>
              <w:rPr>
                <w:rFonts w:ascii="Inter" w:cs="Inter" w:eastAsia="Inter" w:hAnsi="Inter"/>
                <w:color w:val="4A4A4A"/>
                <w:sz w:val="20"/>
                <w:szCs w:val="20"/>
              </w:rPr>
              <w:t xml:space="preserve">O custo marginal por usuário DIMINUI com escala. O “salto” mais caro acontece entre 500–1.000 usuários (saída dos free tiers). Após isso, a economia de escala favorece fortemente o crescimento.</w:t>
            </w:r>
          </w:p>
        </w:tc>
      </w:tr>
    </w:tbl>
    <w:p>
      <w:r>
        <w:br w:type="page"/>
      </w:r>
    </w:p>
    <w:p>
      <w:pPr>
        <w:pStyle w:val="Heading1"/>
        <w:spacing w:after="200" w:before="360"/>
      </w:pPr>
      <w:r>
        <w:rPr>
          <w:rFonts w:ascii="Inter" w:cs="Inter" w:eastAsia="Inter" w:hAnsi="Inter"/>
          <w:b/>
          <w:bCs/>
          <w:color w:val="1A736A"/>
          <w:sz w:val="32"/>
          <w:szCs w:val="32"/>
        </w:rPr>
        <w:t xml:space="preserve">4. ANÁLISE DE SENSIBILIDADE</w:t>
      </w:r>
    </w:p>
    <w:p>
      <w:pPr>
        <w:pStyle w:val="Heading2"/>
        <w:spacing w:after="160" w:before="280"/>
      </w:pPr>
      <w:r>
        <w:rPr>
          <w:rFonts w:ascii="Inter" w:cs="Inter" w:eastAsia="Inter" w:hAnsi="Inter"/>
          <w:b/>
          <w:bCs/>
          <w:color w:val="3E8C8C"/>
          <w:sz w:val="26"/>
          <w:szCs w:val="26"/>
        </w:rPr>
        <w:t xml:space="preserve">4.1 Cenários de Receita vs Custo</w:t>
      </w:r>
    </w:p>
    <w:p>
      <w:pPr>
        <w:spacing w:after="120"/>
        <w:jc w:val="both"/>
      </w:pPr>
      <w:r>
        <w:rPr>
          <w:rFonts w:ascii="Inter" w:cs="Inter" w:eastAsia="Inter" w:hAnsi="Inter"/>
          <w:b w:val="false"/>
          <w:bCs w:val="false"/>
          <w:i w:val="false"/>
          <w:iCs w:val="false"/>
          <w:color w:val="4A4A4A"/>
          <w:sz w:val="21"/>
          <w:szCs w:val="21"/>
        </w:rPr>
        <w:t xml:space="preserve">3 cenários de monetização cruzados com custos projetados: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00"/>
        <w:gridCol w:w="1200"/>
        <w:gridCol w:w="1200"/>
        <w:gridCol w:w="1000"/>
        <w:gridCol w:w="2226"/>
      </w:tblGrid>
      <w:tr>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Cenário</w:t>
            </w:r>
          </w:p>
        </w:tc>
        <w:tc>
          <w:tcPr>
            <w:tcW w:type="dxa" w:w="1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Usuários</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Parceiros B2B</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Receita/mês</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Custo/mês</w:t>
            </w:r>
          </w:p>
        </w:tc>
        <w:tc>
          <w:tcPr>
            <w:tcW w:type="dxa" w:w="1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Resultado</w:t>
            </w:r>
          </w:p>
        </w:tc>
        <w:tc>
          <w:tcPr>
            <w:tcW w:type="dxa" w:w="22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Sustentável?</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Pessimista</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300</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 farmácia</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R$ 150</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R$ 240</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R$ 90</w:t>
            </w:r>
          </w:p>
        </w:tc>
        <w:tc>
          <w:tcPr>
            <w:tcW w:type="dxa" w:w="22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Deficitário (precisa de grant)</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Realista</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1.000</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 farmácias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R$ 450</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R$ 240</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R$ 210</w:t>
            </w:r>
          </w:p>
        </w:tc>
        <w:tc>
          <w:tcPr>
            <w:tcW w:type="dxa" w:w="2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Sustentável</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Otimista</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5.000</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8 farmácias + 1 indústria</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R$ 3.200</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R$ 600</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R$ 2.600</w:t>
            </w:r>
          </w:p>
        </w:tc>
        <w:tc>
          <w:tcPr>
            <w:tcW w:type="dxa" w:w="22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Superávit forte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Escala</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20.000</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15 parceiros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R$ 8.000</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R$ 1.200</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R$ 6.800</w:t>
            </w:r>
          </w:p>
        </w:tc>
        <w:tc>
          <w:tcPr>
            <w:tcW w:type="dxa" w:w="2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Lucro para reinvestir</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Acadêmico (MVP)</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100</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0</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R$ 4</w:t>
            </w:r>
          </w:p>
        </w:tc>
        <w:tc>
          <w:tcPr>
            <w:tcW w:type="dxa" w:w="22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Deficit desprezível</w:t>
            </w:r>
          </w:p>
        </w:tc>
      </w:tr>
    </w:tbl>
    <w:p>
      <w:pPr>
        <w:spacing w:after="200"/>
      </w:pPr>
    </w:p>
    <w:p>
      <w:pPr>
        <w:pStyle w:val="Heading2"/>
        <w:spacing w:after="160" w:before="280"/>
      </w:pPr>
      <w:r>
        <w:rPr>
          <w:rFonts w:ascii="Inter" w:cs="Inter" w:eastAsia="Inter" w:hAnsi="Inter"/>
          <w:b/>
          <w:bCs/>
          <w:color w:val="3E8C8C"/>
          <w:sz w:val="26"/>
          <w:szCs w:val="26"/>
        </w:rPr>
        <w:t xml:space="preserve">4.2 Análise “E 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33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Cenário de Risco</w:t>
            </w:r>
          </w:p>
        </w:tc>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Impacto Financeiro</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Probabilidade</w:t>
            </w:r>
          </w:p>
        </w:tc>
        <w:tc>
          <w:tcPr>
            <w:tcW w:type="dxa" w:w="33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Mitigação</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Supabase descontinua free tier</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Precisa migrar para PlanetScale ou Neon (ambos têm free tier). Custo: R$ 0–100/mês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Baixa (Supabase é bem financiado)</w:t>
            </w:r>
          </w:p>
        </w:tc>
        <w:tc>
          <w:tcPr>
            <w:tcW w:type="dxa" w:w="3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Base de dados é PostgreSQL padrão — migração simples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Oracle Cloud remove free tier ARM</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Precisa migrar Ollama para Contabo VPS. Custo: +R$ 55/mês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Média (Oracle já mudou regras antes)</w:t>
            </w:r>
          </w:p>
        </w:tc>
        <w:tc>
          <w:tcPr>
            <w:tcW w:type="dxa" w:w="3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Contabo como plano B já documentado; Docker facilita migração</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Vercel muda pricing do free tier</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Migrar para Netlify ou Cloudflare Pages. Custo: R$ 0 (ambos têm free tier)</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Baixa</w:t>
            </w:r>
          </w:p>
        </w:tc>
        <w:tc>
          <w:tcPr>
            <w:tcW w:type="dxa" w:w="3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Next.js roda em qualquer plataforma com Node.js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Volume de chat explode (IA sobrecarrega)</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Queue + cache resolve até 5x. Depois: modelo menor (Phi-3) como fallback</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Média (se viral)</w:t>
            </w:r>
          </w:p>
        </w:tc>
        <w:tc>
          <w:tcPr>
            <w:tcW w:type="dxa" w:w="3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Upstash Redis + cache de respostas freq. + rate limiting já implementado</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Nenhum parceiro B2B em 6 meses</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Receita = R$ 0. Custo V1.0 = R$ 240/mês. Precisa de grant ou crowdfunding</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Média</w:t>
            </w:r>
          </w:p>
        </w:tc>
        <w:tc>
          <w:tcPr>
            <w:tcW w:type="dxa" w:w="3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Candidatar a editais FAPESP/CNPq desde o MVP; crowdfunding como backup</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Dólar sobe 30%</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Serviços em USD ficam 30% mais caros. Supabase Pro: R$ 162 (era R$ 125)</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Média (BR tem histórico)</w:t>
            </w:r>
          </w:p>
        </w:tc>
        <w:tc>
          <w:tcPr>
            <w:tcW w:type="dxa" w:w="3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Manter serviços em real quando possível (Contabo aceita BRL); priorizar free tiers</w:t>
            </w:r>
          </w:p>
        </w:tc>
      </w:tr>
    </w:tbl>
    <w:p>
      <w:pPr>
        <w:spacing w:after="200"/>
      </w:pPr>
    </w:p>
    <w:p>
      <w:pPr>
        <w:pStyle w:val="Heading2"/>
        <w:spacing w:after="160" w:before="280"/>
      </w:pPr>
      <w:r>
        <w:rPr>
          <w:rFonts w:ascii="Inter" w:cs="Inter" w:eastAsia="Inter" w:hAnsi="Inter"/>
          <w:b/>
          <w:bCs/>
          <w:color w:val="3E8C8C"/>
          <w:sz w:val="26"/>
          <w:szCs w:val="26"/>
        </w:rPr>
        <w:t xml:space="preserve">4.3 Break-Even por Cenário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2200"/>
        <w:gridCol w:w="2626"/>
      </w:tblGrid>
      <w:tr>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Fase</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Custo/mês</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Receita necessária</w:t>
            </w:r>
          </w:p>
        </w:tc>
        <w:tc>
          <w:tcPr>
            <w:tcW w:type="dxa" w:w="2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Quantos parceiros?</w:t>
            </w:r>
          </w:p>
        </w:tc>
        <w:tc>
          <w:tcPr>
            <w:tcW w:type="dxa" w:w="26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Ponto de equilíbrio</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MVP</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R$ 4</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0 (custo desprezível)</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Imediato</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V1.0 (Supabase Pro + Contabo)</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R$ 240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R$ 240</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 farmácias a R$ 150</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 parceiros</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V1.0 + e-mail + design</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R$ 600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R$ 600</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4 farmácias a R$ 150</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4 parceiros</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V2.0 completo</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R$ 1.200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R$ 1.200</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8 farmácias OU 1 indústria</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8 farmácias ou 1 contrato B2B</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V2.0 + marketing</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R$ 3.000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R$ 3.000</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15 farmácias + 1 indústria</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15-20 parceiros</w:t>
            </w:r>
          </w:p>
        </w:tc>
      </w:tr>
    </w:tbl>
    <w:p>
      <w:r>
        <w:br w:type="page"/>
      </w:r>
    </w:p>
    <w:p>
      <w:pPr>
        <w:pStyle w:val="Heading1"/>
        <w:spacing w:after="200" w:before="360"/>
      </w:pPr>
      <w:r>
        <w:rPr>
          <w:rFonts w:ascii="Inter" w:cs="Inter" w:eastAsia="Inter" w:hAnsi="Inter"/>
          <w:b/>
          <w:bCs/>
          <w:color w:val="1A736A"/>
          <w:sz w:val="32"/>
          <w:szCs w:val="32"/>
        </w:rPr>
        <w:t xml:space="preserve">5. ESTRATÉGIA DE FINANCIAMENTO</w:t>
      </w:r>
    </w:p>
    <w:p>
      <w:pPr>
        <w:pStyle w:val="Heading2"/>
        <w:spacing w:after="160" w:before="280"/>
      </w:pPr>
      <w:r>
        <w:rPr>
          <w:rFonts w:ascii="Inter" w:cs="Inter" w:eastAsia="Inter" w:hAnsi="Inter"/>
          <w:b/>
          <w:bCs/>
          <w:color w:val="3E8C8C"/>
          <w:sz w:val="26"/>
          <w:szCs w:val="26"/>
        </w:rPr>
        <w:t xml:space="preserve">5.1 Fases de Financiamento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1200"/>
        <w:gridCol w:w="2326"/>
      </w:tblGrid>
      <w:tr>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Fase</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Valor Necessário</w:t>
            </w:r>
          </w:p>
        </w:tc>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Fonte</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Probabilidade</w:t>
            </w:r>
          </w:p>
        </w:tc>
        <w:tc>
          <w:tcPr>
            <w:tcW w:type="dxa" w:w="23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Prazo</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MVP (acadêmico)</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R$ 0 – 50</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Custo desprezível; absorvido pela coordenação</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Garantido</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Agora</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Transição pós-acadêmica</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R$ 2.000 – 5.000</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Crowdfunding (Catarse/Benfeitoria) + vaquinha dos alunos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Alta</w:t>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Mês 3-4</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Sustentabilidade V1.0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R$ 3.000 – 8.000</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Editais de inovação social + primeiros parceiros B2B</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Média-Alta</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Mês 4-8</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Escala V2.0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R$ 15.000 – 30.000</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Grants + parcerias B2B consolidadas + investidor de impacto</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Média</w:t>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Ano 2</w:t>
            </w:r>
          </w:p>
        </w:tc>
      </w:tr>
    </w:tbl>
    <w:p>
      <w:pPr>
        <w:spacing w:after="200"/>
      </w:pPr>
    </w:p>
    <w:p>
      <w:pPr>
        <w:pStyle w:val="Heading2"/>
        <w:spacing w:after="160" w:before="280"/>
      </w:pPr>
      <w:r>
        <w:rPr>
          <w:rFonts w:ascii="Inter" w:cs="Inter" w:eastAsia="Inter" w:hAnsi="Inter"/>
          <w:b/>
          <w:bCs/>
          <w:color w:val="3E8C8C"/>
          <w:sz w:val="26"/>
          <w:szCs w:val="26"/>
        </w:rPr>
        <w:t xml:space="preserve">5.2 Editais e Grants Aplicáveis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800"/>
        <w:gridCol w:w="28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Edital/Grant</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Instituição</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Valor</w:t>
            </w:r>
          </w:p>
        </w:tc>
        <w:tc>
          <w:tcPr>
            <w:tcW w:type="dxa" w:w="18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Perfil</w:t>
            </w:r>
          </w:p>
        </w:tc>
        <w:tc>
          <w:tcPr>
            <w:tcW w:type="dxa" w:w="28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Alinhamento com EcoMed</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PIPE — Pesquisa Inovativa em PMEs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FAPESP (SP)</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Até R$ 200.000 (Fase 1)</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Inovação tecnológica com potencial de mercado</w:t>
            </w:r>
          </w:p>
        </w:tc>
        <w:tc>
          <w:tcPr>
            <w:tcW w:type="dxa" w:w="2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Healthtech + impacto ambiental + IA</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Inovação para a Indústria</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CNPq</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Até R$ 50.000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Projetos de TI com impacto social</w:t>
            </w:r>
          </w:p>
        </w:tc>
        <w:tc>
          <w:tcPr>
            <w:tcW w:type="dxa" w:w="2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Educação ambiental + tecnologia</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Programa Centelha</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MCTI / FINEP</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Até R$ 40.000</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Startups em estágio inicial</w:t>
            </w:r>
          </w:p>
        </w:tc>
        <w:tc>
          <w:tcPr>
            <w:tcW w:type="dxa" w:w="2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MVP validado + equipe formada</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Google.org Impact Challenge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Google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Até US$ 25.000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Projetos que usam IA para impacto social</w:t>
            </w:r>
          </w:p>
        </w:tc>
        <w:tc>
          <w:tcPr>
            <w:tcW w:type="dxa" w:w="2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IA + sustentabilidade + open source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Desafio de Inovação Social</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Fundação Itaú / Artemisia</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Variável</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Negócios de impacto social</w:t>
            </w:r>
          </w:p>
        </w:tc>
        <w:tc>
          <w:tcPr>
            <w:tcW w:type="dxa" w:w="2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Impacto ambiental mensurável</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Programa Amazônia+10</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BNDES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Até R$ 100.000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Projetos de sustentabilidade</w:t>
            </w:r>
          </w:p>
        </w:tc>
        <w:tc>
          <w:tcPr>
            <w:tcW w:type="dxa" w:w="2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Foco em Amazônia, mas aceita outros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Editais de Extensão</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Universidades públicas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R$ 5.000 – 20.000</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Projetos de extensão com impacto social</w:t>
            </w:r>
          </w:p>
        </w:tc>
        <w:tc>
          <w:tcPr>
            <w:tcW w:type="dxa" w:w="2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Projeto acadêmico + impacto comunitário</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GitHub Sponsors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GitHub / comunidade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Variável (doações)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Projetos open source</w:t>
            </w:r>
          </w:p>
        </w:tc>
        <w:tc>
          <w:tcPr>
            <w:tcW w:type="dxa" w:w="2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Código público no GitHub</w:t>
            </w:r>
          </w:p>
        </w:tc>
      </w:tr>
    </w:tbl>
    <w:p>
      <w:pPr>
        <w:spacing w:after="200"/>
      </w:pPr>
    </w:p>
    <w:p>
      <w:pPr>
        <w:pStyle w:val="Heading2"/>
        <w:spacing w:after="160" w:before="280"/>
      </w:pPr>
      <w:r>
        <w:rPr>
          <w:rFonts w:ascii="Inter" w:cs="Inter" w:eastAsia="Inter" w:hAnsi="Inter"/>
          <w:b/>
          <w:bCs/>
          <w:color w:val="3E8C8C"/>
          <w:sz w:val="26"/>
          <w:szCs w:val="26"/>
        </w:rPr>
        <w:t xml:space="preserve">5.3 Crowdfunding — Plano</w:t>
      </w:r>
    </w:p>
    <w:p>
      <w:pPr>
        <w:spacing w:after="120"/>
        <w:jc w:val="both"/>
      </w:pPr>
      <w:r>
        <w:rPr>
          <w:rFonts w:ascii="Inter" w:cs="Inter" w:eastAsia="Inter" w:hAnsi="Inter"/>
          <w:b w:val="false"/>
          <w:bCs w:val="false"/>
          <w:i w:val="false"/>
          <w:iCs w:val="false"/>
          <w:color w:val="4A4A4A"/>
          <w:sz w:val="21"/>
          <w:szCs w:val="21"/>
        </w:rPr>
        <w:t xml:space="preserve">Se nenhum edital for aprovado a tempo, o crowdfunding é o backup para a fase de transição (mês 3-4):</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Aspecto</w:t>
            </w:r>
          </w:p>
        </w:tc>
        <w:tc>
          <w:tcPr>
            <w:tcW w:type="dxa" w:w="70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Plano</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Plataforma</w:t>
            </w:r>
          </w:p>
        </w:tc>
        <w:tc>
          <w:tcPr>
            <w:tcW w:type="dxa" w:w="7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Catarse (maior do Brasil para projetos de impacto) ou Benfeitoria (flexível)</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Meta mínima</w:t>
            </w:r>
          </w:p>
        </w:tc>
        <w:tc>
          <w:tcPr>
            <w:tcW w:type="dxa" w:w="7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R$ 3.000 (cobre 1 ano de V1.0)</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Meta ideal</w:t>
            </w:r>
          </w:p>
        </w:tc>
        <w:tc>
          <w:tcPr>
            <w:tcW w:type="dxa" w:w="7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R$ 8.000 (cobre 1 ano + design profissional + marketing)</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Recompensas para apoiadores</w:t>
            </w:r>
          </w:p>
        </w:tc>
        <w:tc>
          <w:tcPr>
            <w:tcW w:type="dxa" w:w="7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R$ 10: agradecimento + nome no Hall da Fama | R$ 25: + certificado de apoiador | R$ 50: + EcoCoins bonus | R$ 100: + camiseta EcoMed | R$ 500: + selo de “Fundador” permanente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Público-alvo</w:t>
            </w:r>
          </w:p>
        </w:tc>
        <w:tc>
          <w:tcPr>
            <w:tcW w:type="dxa" w:w="7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Famílias dos 70 alunos (200-400 pessoas) + comunidade open source + ESG</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Campanha</w:t>
            </w:r>
          </w:p>
        </w:tc>
        <w:tc>
          <w:tcPr>
            <w:tcW w:type="dxa" w:w="7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Vídeo de 2 min mostrando o MVP + impacto + equipe + depoimentos de usuários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Duração</w:t>
            </w:r>
          </w:p>
        </w:tc>
        <w:tc>
          <w:tcPr>
            <w:tcW w:type="dxa" w:w="7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30 dias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Prospecção pré-lançamento</w:t>
            </w:r>
          </w:p>
        </w:tc>
        <w:tc>
          <w:tcPr>
            <w:tcW w:type="dxa" w:w="7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Cada aluno compromete 3 pessoas antes de lançar (210 pré-confirmados)</w:t>
            </w:r>
          </w:p>
        </w:tc>
      </w:tr>
    </w:tbl>
    <w:p>
      <w:pPr>
        <w:spacing w:after="200"/>
      </w:pPr>
    </w:p>
    <w:p>
      <w:pPr>
        <w:pStyle w:val="Heading2"/>
        <w:spacing w:after="160" w:before="280"/>
      </w:pPr>
      <w:r>
        <w:rPr>
          <w:rFonts w:ascii="Inter" w:cs="Inter" w:eastAsia="Inter" w:hAnsi="Inter"/>
          <w:b/>
          <w:bCs/>
          <w:color w:val="3E8C8C"/>
          <w:sz w:val="26"/>
          <w:szCs w:val="26"/>
        </w:rPr>
        <w:t xml:space="preserve">5.4 Investimento de Impacto (Longo Prazo)</w:t>
      </w:r>
    </w:p>
    <w:p>
      <w:pPr>
        <w:spacing w:after="120"/>
        <w:jc w:val="both"/>
      </w:pPr>
      <w:r>
        <w:rPr>
          <w:rFonts w:ascii="Inter" w:cs="Inter" w:eastAsia="Inter" w:hAnsi="Inter"/>
          <w:b w:val="false"/>
          <w:bCs w:val="false"/>
          <w:i w:val="false"/>
          <w:iCs w:val="false"/>
          <w:color w:val="4A4A4A"/>
          <w:sz w:val="21"/>
          <w:szCs w:val="21"/>
        </w:rPr>
        <w:t xml:space="preserve">Se o EcoMed provar traction (5.000+ usuários, parcerias ativas), pode buscar investimento de impacto: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200"/>
        <w:gridCol w:w="2000"/>
        <w:gridCol w:w="2326"/>
      </w:tblGrid>
      <w:tr>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Tipo</w:t>
            </w:r>
          </w:p>
        </w:tc>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Exemplos</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Valor Típico</w:t>
            </w:r>
          </w:p>
        </w:tc>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O que Buscam</w:t>
            </w:r>
          </w:p>
        </w:tc>
        <w:tc>
          <w:tcPr>
            <w:tcW w:type="dxa" w:w="23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Fit com EcoMed</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Aceleradora de impacto</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Artemisia, Yunus Social Business, ImpactHub</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R$ 20–80k + mentoria</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Métricas de impacto + modelo sustentável</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Alto</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Angel investor ESG</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Anjos do Brasil (vertical ESG)</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R$ 50–200k</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Traction + equipe + escalabilidade</w:t>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Médio (precisa provar escala)</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Venture philanthropy</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SITAWI, Instituto Arapyaú</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R$ 100k–1M</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Impacto mensurável + sustentabilidade financeira</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Alto</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Corporate venture (farmácia)</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Raia Drogasil Ventures, Eurofarma Ventures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R$ 200k+</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Complementaridade estratégica + ESG</w:t>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Alto (se parceria validada)</w:t>
            </w:r>
          </w:p>
        </w:tc>
      </w:tr>
    </w:tbl>
    <w:p>
      <w:r>
        <w:br w:type="page"/>
      </w:r>
    </w:p>
    <w:p>
      <w:pPr>
        <w:pStyle w:val="Heading1"/>
        <w:spacing w:after="200" w:before="360"/>
      </w:pPr>
      <w:r>
        <w:rPr>
          <w:rFonts w:ascii="Inter" w:cs="Inter" w:eastAsia="Inter" w:hAnsi="Inter"/>
          <w:b/>
          <w:bCs/>
          <w:color w:val="1A736A"/>
          <w:sz w:val="32"/>
          <w:szCs w:val="32"/>
        </w:rPr>
        <w:t xml:space="preserve">6. RISCOS FINANCEIROS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900"/>
        <w:gridCol w:w="1500"/>
        <w:gridCol w:w="4126"/>
      </w:tblGrid>
      <w:tr>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Risco</w:t>
            </w:r>
          </w:p>
        </w:tc>
        <w:tc>
          <w:tcPr>
            <w:tcW w:type="dxa" w:w="1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Probabilidade</w:t>
            </w:r>
          </w:p>
        </w:tc>
        <w:tc>
          <w:tcPr>
            <w:tcW w:type="dxa" w:w="9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Impacto</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Exposição (R$)</w:t>
            </w:r>
          </w:p>
        </w:tc>
        <w:tc>
          <w:tcPr>
            <w:tcW w:type="dxa" w:w="41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Mitigação</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Free tiers removidos (todos ao mesmo tempo)</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Muito Baixa</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Alto</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R$ 300/mês (migrar tudo para paid)</w:t>
            </w:r>
          </w:p>
        </w:tc>
        <w:tc>
          <w:tcPr>
            <w:tcW w:type="dxa" w:w="41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Diversificar provedores; documentação de migração pronta</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Nenhuma receita em 12 meses</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Média</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Médio</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R$ 2.880/ano (custo V1.0)</w:t>
            </w:r>
          </w:p>
        </w:tc>
        <w:tc>
          <w:tcPr>
            <w:tcW w:type="dxa" w:w="41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Crowdfunding como backup; editais em paralelo; MVP quase gratuito</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Dólar a R$ 7+ (serviços USD)</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Média</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Baixo</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+R$ 60/mês na V1.0</w:t>
            </w:r>
          </w:p>
        </w:tc>
        <w:tc>
          <w:tcPr>
            <w:tcW w:type="dxa" w:w="41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Priorizar serviços com preço em BRL (Contabo, Registro.br)</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Custo de IA dispara (se migrar para API)</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Baixa</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Alto</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+R$ 500-2.000/mês</w:t>
            </w:r>
          </w:p>
        </w:tc>
        <w:tc>
          <w:tcPr>
            <w:tcW w:type="dxa" w:w="41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Manter Ollama local; só usar API como fallback temporário</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Projeto não sobrevive pós-acadêmico</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Alta</w:t>
            </w:r>
          </w:p>
        </w:tc>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Alto</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100% do investimento</w:t>
            </w:r>
          </w:p>
        </w:tc>
        <w:tc>
          <w:tcPr>
            <w:tcW w:type="dxa" w:w="41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Open source garante que comunidade pode continuar; documentação completa</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Parceiro B2B cancela contrato</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Média</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Baixo</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Perda de R$ 150-500/mês</w:t>
            </w:r>
          </w:p>
        </w:tc>
        <w:tc>
          <w:tcPr>
            <w:tcW w:type="dxa" w:w="41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Diversificar: nunca depender de 1 parceiro para &gt;40% da receita</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4A645" w:sz="4"/>
              <w:left w:val="none" w:sz="0"/>
              <w:bottom w:val="none" w:sz="0"/>
              <w:right w:val="none" w:sz="0"/>
            </w:tcBorders>
            <w:shd w:fill="F5F4F2" w:val="clear"/>
            <w:tcMar>
              <w:top w:type="dxa" w:w="120"/>
              <w:left w:type="dxa" w:w="200"/>
              <w:bottom w:type="dxa" w:w="120"/>
              <w:right w:type="dxa" w:w="200"/>
            </w:tcMar>
          </w:tcPr>
          <w:p>
            <w:pPr>
              <w:spacing w:after="60"/>
            </w:pPr>
            <w:r>
              <w:rPr>
                <w:rFonts w:ascii="Inter" w:cs="Inter" w:eastAsia="Inter" w:hAnsi="Inter"/>
                <w:b/>
                <w:bCs/>
                <w:color w:val="1A736A"/>
                <w:sz w:val="21"/>
                <w:szCs w:val="21"/>
              </w:rPr>
              <w:t xml:space="preserve">RISCO RESIDUAL ACEITÁVEL</w:t>
            </w:r>
          </w:p>
          <w:p>
            <w:pPr>
              <w:jc w:val="both"/>
            </w:pPr>
            <w:r>
              <w:rPr>
                <w:rFonts w:ascii="Inter" w:cs="Inter" w:eastAsia="Inter" w:hAnsi="Inter"/>
                <w:color w:val="4A4A4A"/>
                <w:sz w:val="20"/>
                <w:szCs w:val="20"/>
              </w:rPr>
              <w:t xml:space="preserve">O pior cenário financeiro do EcoMed (todos os free tiers removidos + zero receita + dólar alto) custa R$ 400/mês. Isso é menos que uma pizza por semana dividida entre 70 alunos (R$ 0,34/pessoa/semana). O risco financeiro do projeto é estruturalmente baixo.</w:t>
            </w:r>
          </w:p>
        </w:tc>
      </w:tr>
    </w:tbl>
    <w:p>
      <w:r>
        <w:br w:type="page"/>
      </w:r>
    </w:p>
    <w:p>
      <w:pPr>
        <w:pStyle w:val="Heading1"/>
        <w:spacing w:after="200" w:before="360"/>
      </w:pPr>
      <w:r>
        <w:rPr>
          <w:rFonts w:ascii="Inter" w:cs="Inter" w:eastAsia="Inter" w:hAnsi="Inter"/>
          <w:b/>
          <w:bCs/>
          <w:color w:val="1A736A"/>
          <w:sz w:val="32"/>
          <w:szCs w:val="32"/>
        </w:rPr>
        <w:t xml:space="preserve">7. CHECKLIST FINANCEIRO</w:t>
      </w:r>
    </w:p>
    <w:p>
      <w:pPr>
        <w:spacing w:after="120"/>
        <w:jc w:val="both"/>
      </w:pPr>
      <w:r>
        <w:rPr>
          <w:rFonts w:ascii="Inter" w:cs="Inter" w:eastAsia="Inter" w:hAnsi="Inter"/>
          <w:b w:val="false"/>
          <w:bCs w:val="false"/>
          <w:i/>
          <w:iCs/>
          <w:color w:val="4A4A4A"/>
          <w:sz w:val="21"/>
          <w:szCs w:val="21"/>
        </w:rPr>
        <w:t xml:space="preserve">Para o grupo 3TA-G3 e a coordenação validarem:</w:t>
      </w:r>
    </w:p>
    <w:p>
      <w:pPr>
        <w:spacing w:after="120"/>
      </w:pPr>
    </w:p>
    <w:p>
      <w:pPr>
        <w:pStyle w:val="ListParagraph"/>
        <w:numPr>
          <w:ilvl w:val="0"/>
          <w:numId w:val="2"/>
        </w:numPr>
        <w:spacing w:after="80"/>
      </w:pPr>
      <w:r>
        <w:rPr>
          <w:rFonts w:ascii="Inter" w:cs="Inter" w:eastAsia="Inter" w:hAnsi="Inter"/>
          <w:color w:val="4A4A4A"/>
          <w:sz w:val="21"/>
          <w:szCs w:val="21"/>
        </w:rPr>
        <w:t xml:space="preserve">TCO detalhado por fase (MVP, V1.0, V2.0) com todas as linhas de custo</w:t>
      </w:r>
    </w:p>
    <w:p>
      <w:pPr>
        <w:pStyle w:val="ListParagraph"/>
        <w:numPr>
          <w:ilvl w:val="0"/>
          <w:numId w:val="2"/>
        </w:numPr>
        <w:spacing w:after="80"/>
      </w:pPr>
      <w:r>
        <w:rPr>
          <w:rFonts w:ascii="Inter" w:cs="Inter" w:eastAsia="Inter" w:hAnsi="Inter"/>
          <w:color w:val="4A4A4A"/>
          <w:sz w:val="21"/>
          <w:szCs w:val="21"/>
        </w:rPr>
        <w:t xml:space="preserve">Custo por usuário calculado para cada faixa (100 a 200.000)</w:t>
      </w:r>
    </w:p>
    <w:p>
      <w:pPr>
        <w:pStyle w:val="ListParagraph"/>
        <w:numPr>
          <w:ilvl w:val="0"/>
          <w:numId w:val="2"/>
        </w:numPr>
        <w:spacing w:after="80"/>
      </w:pPr>
      <w:r>
        <w:rPr>
          <w:rFonts w:ascii="Inter" w:cs="Inter" w:eastAsia="Inter" w:hAnsi="Inter"/>
          <w:color w:val="4A4A4A"/>
          <w:sz w:val="21"/>
          <w:szCs w:val="21"/>
        </w:rPr>
        <w:t xml:space="preserve">Comparativo de 4 stacks alternativas com matriz de 12 critérios</w:t>
      </w:r>
    </w:p>
    <w:p>
      <w:pPr>
        <w:pStyle w:val="ListParagraph"/>
        <w:numPr>
          <w:ilvl w:val="0"/>
          <w:numId w:val="2"/>
        </w:numPr>
        <w:spacing w:after="80"/>
      </w:pPr>
      <w:r>
        <w:rPr>
          <w:rFonts w:ascii="Inter" w:cs="Inter" w:eastAsia="Inter" w:hAnsi="Inter"/>
          <w:color w:val="4A4A4A"/>
          <w:sz w:val="21"/>
          <w:szCs w:val="21"/>
        </w:rPr>
        <w:t xml:space="preserve">Plano de migração de stack por fase documentado</w:t>
      </w:r>
    </w:p>
    <w:p>
      <w:pPr>
        <w:pStyle w:val="ListParagraph"/>
        <w:numPr>
          <w:ilvl w:val="0"/>
          <w:numId w:val="2"/>
        </w:numPr>
        <w:spacing w:after="80"/>
      </w:pPr>
      <w:r>
        <w:rPr>
          <w:rFonts w:ascii="Inter" w:cs="Inter" w:eastAsia="Inter" w:hAnsi="Inter"/>
          <w:color w:val="4A4A4A"/>
          <w:sz w:val="21"/>
          <w:szCs w:val="21"/>
        </w:rPr>
        <w:t xml:space="preserve">Modelagem de custos por faixa de usuários (7 faixas)</w:t>
      </w:r>
    </w:p>
    <w:p>
      <w:pPr>
        <w:pStyle w:val="ListParagraph"/>
        <w:numPr>
          <w:ilvl w:val="0"/>
          <w:numId w:val="2"/>
        </w:numPr>
        <w:spacing w:after="80"/>
      </w:pPr>
      <w:r>
        <w:rPr>
          <w:rFonts w:ascii="Inter" w:cs="Inter" w:eastAsia="Inter" w:hAnsi="Inter"/>
          <w:color w:val="4A4A4A"/>
          <w:sz w:val="21"/>
          <w:szCs w:val="21"/>
        </w:rPr>
        <w:t xml:space="preserve">Bottlenecks identificados com solução e custo</w:t>
      </w:r>
    </w:p>
    <w:p>
      <w:pPr>
        <w:pStyle w:val="ListParagraph"/>
        <w:numPr>
          <w:ilvl w:val="0"/>
          <w:numId w:val="2"/>
        </w:numPr>
        <w:spacing w:after="80"/>
      </w:pPr>
      <w:r>
        <w:rPr>
          <w:rFonts w:ascii="Inter" w:cs="Inter" w:eastAsia="Inter" w:hAnsi="Inter"/>
          <w:color w:val="4A4A4A"/>
          <w:sz w:val="21"/>
          <w:szCs w:val="21"/>
        </w:rPr>
        <w:t xml:space="preserve">Custo marginal por usuário calculado por faixa</w:t>
      </w:r>
    </w:p>
    <w:p>
      <w:pPr>
        <w:pStyle w:val="ListParagraph"/>
        <w:numPr>
          <w:ilvl w:val="0"/>
          <w:numId w:val="2"/>
        </w:numPr>
        <w:spacing w:after="80"/>
      </w:pPr>
      <w:r>
        <w:rPr>
          <w:rFonts w:ascii="Inter" w:cs="Inter" w:eastAsia="Inter" w:hAnsi="Inter"/>
          <w:color w:val="4A4A4A"/>
          <w:sz w:val="21"/>
          <w:szCs w:val="21"/>
        </w:rPr>
        <w:t xml:space="preserve">Análise de sensibilidade com 5 cenários (pessimista a acadêmico)</w:t>
      </w:r>
    </w:p>
    <w:p>
      <w:pPr>
        <w:pStyle w:val="ListParagraph"/>
        <w:numPr>
          <w:ilvl w:val="0"/>
          <w:numId w:val="2"/>
        </w:numPr>
        <w:spacing w:after="80"/>
      </w:pPr>
      <w:r>
        <w:rPr>
          <w:rFonts w:ascii="Inter" w:cs="Inter" w:eastAsia="Inter" w:hAnsi="Inter"/>
          <w:color w:val="4A4A4A"/>
          <w:sz w:val="21"/>
          <w:szCs w:val="21"/>
        </w:rPr>
        <w:t xml:space="preserve">Análise “E se...?” com 6 riscos e mitigações</w:t>
      </w:r>
    </w:p>
    <w:p>
      <w:pPr>
        <w:pStyle w:val="ListParagraph"/>
        <w:numPr>
          <w:ilvl w:val="0"/>
          <w:numId w:val="2"/>
        </w:numPr>
        <w:spacing w:after="80"/>
      </w:pPr>
      <w:r>
        <w:rPr>
          <w:rFonts w:ascii="Inter" w:cs="Inter" w:eastAsia="Inter" w:hAnsi="Inter"/>
          <w:color w:val="4A4A4A"/>
          <w:sz w:val="21"/>
          <w:szCs w:val="21"/>
        </w:rPr>
        <w:t xml:space="preserve">Break-even por fase com número de parceiros necessários</w:t>
      </w:r>
    </w:p>
    <w:p>
      <w:pPr>
        <w:pStyle w:val="ListParagraph"/>
        <w:numPr>
          <w:ilvl w:val="0"/>
          <w:numId w:val="2"/>
        </w:numPr>
        <w:spacing w:after="80"/>
      </w:pPr>
      <w:r>
        <w:rPr>
          <w:rFonts w:ascii="Inter" w:cs="Inter" w:eastAsia="Inter" w:hAnsi="Inter"/>
          <w:color w:val="4A4A4A"/>
          <w:sz w:val="21"/>
          <w:szCs w:val="21"/>
        </w:rPr>
        <w:t xml:space="preserve">Estratégia de financiamento em 4 fases</w:t>
      </w:r>
    </w:p>
    <w:p>
      <w:pPr>
        <w:pStyle w:val="ListParagraph"/>
        <w:numPr>
          <w:ilvl w:val="0"/>
          <w:numId w:val="2"/>
        </w:numPr>
        <w:spacing w:after="80"/>
      </w:pPr>
      <w:r>
        <w:rPr>
          <w:rFonts w:ascii="Inter" w:cs="Inter" w:eastAsia="Inter" w:hAnsi="Inter"/>
          <w:color w:val="4A4A4A"/>
          <w:sz w:val="21"/>
          <w:szCs w:val="21"/>
        </w:rPr>
        <w:t xml:space="preserve">8 editais/grants mapeados com valor e alinhamento</w:t>
      </w:r>
    </w:p>
    <w:p>
      <w:pPr>
        <w:pStyle w:val="ListParagraph"/>
        <w:numPr>
          <w:ilvl w:val="0"/>
          <w:numId w:val="2"/>
        </w:numPr>
        <w:spacing w:after="80"/>
      </w:pPr>
      <w:r>
        <w:rPr>
          <w:rFonts w:ascii="Inter" w:cs="Inter" w:eastAsia="Inter" w:hAnsi="Inter"/>
          <w:color w:val="4A4A4A"/>
          <w:sz w:val="21"/>
          <w:szCs w:val="21"/>
        </w:rPr>
        <w:t xml:space="preserve">Plano de crowdfunding com meta, recompensas e prospecção</w:t>
      </w:r>
    </w:p>
    <w:p>
      <w:pPr>
        <w:pStyle w:val="ListParagraph"/>
        <w:numPr>
          <w:ilvl w:val="0"/>
          <w:numId w:val="2"/>
        </w:numPr>
        <w:spacing w:after="80"/>
      </w:pPr>
      <w:r>
        <w:rPr>
          <w:rFonts w:ascii="Inter" w:cs="Inter" w:eastAsia="Inter" w:hAnsi="Inter"/>
          <w:color w:val="4A4A4A"/>
          <w:sz w:val="21"/>
          <w:szCs w:val="21"/>
        </w:rPr>
        <w:t xml:space="preserve">Investidores de impacto mapeados para longo prazo</w:t>
      </w:r>
    </w:p>
    <w:p>
      <w:pPr>
        <w:pStyle w:val="ListParagraph"/>
        <w:numPr>
          <w:ilvl w:val="0"/>
          <w:numId w:val="2"/>
        </w:numPr>
        <w:spacing w:after="80"/>
      </w:pPr>
      <w:r>
        <w:rPr>
          <w:rFonts w:ascii="Inter" w:cs="Inter" w:eastAsia="Inter" w:hAnsi="Inter"/>
          <w:color w:val="4A4A4A"/>
          <w:sz w:val="21"/>
          <w:szCs w:val="21"/>
        </w:rPr>
        <w:t xml:space="preserve">6 riscos financeiros com probabilidade, impacto e mitigação</w:t>
      </w:r>
    </w:p>
    <w:p>
      <w:pPr>
        <w:pStyle w:val="ListParagraph"/>
        <w:numPr>
          <w:ilvl w:val="0"/>
          <w:numId w:val="2"/>
        </w:numPr>
        <w:spacing w:after="80"/>
      </w:pPr>
      <w:r>
        <w:rPr>
          <w:rFonts w:ascii="Inter" w:cs="Inter" w:eastAsia="Inter" w:hAnsi="Inter"/>
          <w:color w:val="4A4A4A"/>
          <w:sz w:val="21"/>
          <w:szCs w:val="21"/>
        </w:rPr>
        <w:t xml:space="preserve">Risco residual máximo documentado (R$ 400/mês = R$ 0,34/aluno/semana)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tabs>
        <w:tab w:val="right" w:pos="9026"/>
      </w:tabs>
    </w:pPr>
    <w:r>
      <w:rPr>
        <w:rFonts w:ascii="Inter" w:cs="Inter" w:eastAsia="Inter" w:hAnsi="Inter"/>
        <w:color w:val="4A4A4A"/>
        <w:sz w:val="16"/>
        <w:szCs w:val="16"/>
      </w:rPr>
      <w:t xml:space="preserve">Versão 1.0 — Abril 2026</w:t>
    </w:r>
    <w:r>
      <w:rPr>
        <w:rFonts w:ascii="Inter" w:cs="Inter" w:eastAsia="Inter" w:hAnsi="Inter"/>
        <w:color w:val="4A4A4A"/>
        <w:sz w:val="16"/>
        <w:szCs w:val="16"/>
      </w:rPr>
      <w:t xml:space="preserve">	Página </w:t>
    </w:r>
    <w:r>
      <w:rPr>
        <w:rFonts w:ascii="Inter" w:cs="Inter" w:eastAsia="Inter" w:hAnsi="Inter"/>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Inter" w:cs="Inter" w:eastAsia="Inter" w:hAnsi="Inter"/>
        <w:i/>
        <w:iCs/>
        <w:color w:val="3E8C8C"/>
        <w:sz w:val="16"/>
        <w:szCs w:val="16"/>
      </w:rPr>
      <w:t xml:space="preserve">EcoMed — Análise Financeira e TCO</w:t>
    </w:r>
    <w:r>
      <w:rPr>
        <w:rFonts w:ascii="Inter" w:cs="Inter" w:eastAsia="Inter" w:hAnsi="Inter"/>
        <w:i/>
        <w:iCs/>
        <w:color w:val="4A4A4A"/>
        <w:sz w:val="16"/>
        <w:szCs w:val="16"/>
      </w:rPr>
      <w:t xml:space="preserve">	ecomed.eco.br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4A4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1A736A"/>
      <w:sz w:val="32"/>
      <w:szCs w:val="32"/>
    </w:rPr>
  </w:style>
  <w:style w:type="paragraph" w:styleId="Heading2">
    <w:name w:val="Heading 2"/>
    <w:basedOn w:val="Normal"/>
    <w:next w:val="Normal"/>
    <w:qFormat/>
    <w:pPr>
      <w:spacing w:after="160" w:before="280"/>
      <w:outlineLvl w:val="1"/>
    </w:pPr>
    <w:rPr>
      <w:rFonts w:ascii="Inter" w:cs="Inter" w:eastAsia="Inter" w:hAnsi="Inter"/>
      <w:b/>
      <w:bCs/>
      <w:color w:val="3E8C8C"/>
      <w:sz w:val="26"/>
      <w:szCs w:val="26"/>
    </w:rPr>
  </w:style>
  <w:style w:type="paragraph" w:styleId="Heading3">
    <w:name w:val="Heading 3"/>
    <w:basedOn w:val="Normal"/>
    <w:next w:val="Normal"/>
    <w:qFormat/>
    <w:pPr>
      <w:spacing w:after="120" w:before="200"/>
      <w:outlineLvl w:val="2"/>
    </w:pPr>
    <w:rPr>
      <w:rFonts w:ascii="Inter" w:cs="Inter" w:eastAsia="Inter" w:hAnsi="Inter"/>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2026-04-07T10:25:14.827Z</dcterms:created>
  <dcterms:modified xsi:type="dcterms:W3CDTF">2026-04-07T10:25:14.829Z</dcterms:modified>
</cp:coreProperties>
</file>

<file path=docProps/custom.xml><?xml version="1.0" encoding="utf-8"?>
<Properties xmlns="http://schemas.openxmlformats.org/officeDocument/2006/custom-properties" xmlns:vt="http://schemas.openxmlformats.org/officeDocument/2006/docPropsVTypes"/>
</file>