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BENCHMARK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4CAF50"/>
          <w:sz w:val="40"/>
          <w:szCs w:val="40"/>
        </w:rPr>
        <w:t xml:space="preserve">App Ambipar Triciclo</w:t>
      </w:r>
    </w:p>
    <w:p>
      <w:pPr>
        <w:pBdr>
          <w:bottom w:val="single" w:color="4CAF50" w:sz="4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16161"/>
          <w:sz w:val="26"/>
          <w:szCs w:val="26"/>
        </w:rPr>
        <w:t xml:space="preserve">Programa de Fidelidade Ambiental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Projeto EcoMed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Plataforma PWA para Descarte Correto de Medicamentos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Ensino Médio Técnico — Turmas 3TA / 3TB / 3TC</w:t>
      </w:r>
    </w:p>
    <w:p>
      <w:pPr>
        <w:spacing w:before="4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Visão Geral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Ambipar Triciclo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Ambipar Environmental Machines S.A.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Utilidades / Sustentabilidade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(15.0+) e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Preço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Versão Atual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2.2.10 (04/12/2025)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Nota App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3,1/5 (89 avaliações)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Nota Reclame Aqui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6,5/10 — 60% resolução (tempo médio: 11 dias)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Abrangência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600+ ecopontos em 83 cidades / 18 estados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Impacto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19,2 milhões de embalagens coletadas (~500 ton)</w:t>
            </w:r>
          </w:p>
        </w:tc>
      </w:tr>
    </w:tbl>
    <w:p>
      <w:pPr>
        <w:spacing w:after="24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Ambipar Triciclo é um app gratuito integrado ao Programa Ambipar de Fidelidade e Recompensas. Seu propósito é estimular a reciclagem de embalagens pós-consumo por meio de um sistema de pontos (Tricoins) que podem ser convertidos em benefícios financeiros e sociais. O app funciona em conjunto com equipamentos físicos (Retorna Machine, Recicla Pharma, Deixaki) instalados em locais públicos e privados.</w:t>
      </w: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Análise de Telas (Screenshots)</w:t>
      </w:r>
    </w:p>
    <w:p>
      <w:pPr>
        <w:spacing w:after="20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seguir, capturas de tela reais do app Ambipar Triciclo (App Store, março/2026) com análise crítica de cada interface.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Tela 1 — Home (Dashboard Principal)</w:t>
      </w:r>
    </w:p>
    <w:p>
      <w:pPr>
        <w:spacing w:after="160"/>
        <w:jc w:val="center"/>
      </w:pPr>
      <w:r>
        <w:drawing>
          <wp:inline distT="0" distB="0" distL="0" distR="0">
            <wp:extent cx="2286000" cy="4810125"/>
            <wp:effectExtent t="0" r="0" b="0" l="0"/>
            <wp:docPr id="1" name="Tela 1 — Home (Dashboard Principal)" descr="Tela 1 — Home (Dashboard Principal)" title="Tela 1 — Home (Dashboard Princip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tela inicial concentra as informações mais importantes do usuário em um layout dark mode. Elementos identificados: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Perfil e Nível: </w:t>
      </w:r>
      <w:r>
        <w:rPr>
          <w:rFonts w:ascii="Arial" w:cs="Arial" w:eastAsia="Arial" w:hAnsi="Arial"/>
          <w:sz w:val="22"/>
          <w:szCs w:val="22"/>
        </w:rPr>
        <w:t xml:space="preserve">No topo, avatar do usuário com indicação de nível (ex: "Nível 1 — Semente") e barra de progresso (4/16 pontos). Gamificação visível desde o primeiro contato.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Saldo de Tricoins: </w:t>
      </w:r>
      <w:r>
        <w:rPr>
          <w:rFonts w:ascii="Arial" w:cs="Arial" w:eastAsia="Arial" w:hAnsi="Arial"/>
          <w:sz w:val="22"/>
          <w:szCs w:val="22"/>
        </w:rPr>
        <w:t xml:space="preserve">Card central exibindo saldo (100.000 Tricoins no exemplo) com botões de acesso rápido para Doação (❤) e Troca (⇄).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Limite diário: </w:t>
      </w:r>
      <w:r>
        <w:rPr>
          <w:rFonts w:ascii="Arial" w:cs="Arial" w:eastAsia="Arial" w:hAnsi="Arial"/>
          <w:sz w:val="22"/>
          <w:szCs w:val="22"/>
        </w:rPr>
        <w:t xml:space="preserve">Indicadores de limite restante por tipo de equipamento: Retorna Machine (10/12), Recicla Pharma (10/12), Deixaki (3/3). Transparência sobre regras do programa.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"Veja Como Reciclar": </w:t>
      </w:r>
      <w:r>
        <w:rPr>
          <w:rFonts w:ascii="Arial" w:cs="Arial" w:eastAsia="Arial" w:hAnsi="Arial"/>
          <w:sz w:val="22"/>
          <w:szCs w:val="22"/>
        </w:rPr>
        <w:t xml:space="preserve">Cards visuais com fotos dos três tipos de equipamento (Retorna Machine, Recicla Pharma, Deixaki), servindo como onboarding educativo.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Mapa integrado: </w:t>
      </w:r>
      <w:r>
        <w:rPr>
          <w:rFonts w:ascii="Arial" w:cs="Arial" w:eastAsia="Arial" w:hAnsi="Arial"/>
          <w:sz w:val="22"/>
          <w:szCs w:val="22"/>
        </w:rPr>
        <w:t xml:space="preserve">Preview do mapa "Onde reciclar?" diretamente na home, reduzindo atrito para encontrar ecopontos.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Análise UX: </w:t>
      </w:r>
      <w:r>
        <w:rPr>
          <w:rFonts w:ascii="Arial" w:cs="Arial" w:eastAsia="Arial" w:hAnsi="Arial"/>
          <w:sz w:val="22"/>
          <w:szCs w:val="22"/>
        </w:rPr>
        <w:t xml:space="preserve">Layout denso porém funcional. A escolha de dark mode é moderna mas pode dificultar leitura ao ar livre. Boa hierarquia visual com as informações priorizadas corretamente (saldo → limites → como usar → onde ir).</w:t>
      </w:r>
    </w:p>
    <w:p>
      <w:pPr>
        <w:pBdr>
          <w:bottom w:val="single" w:color="81C784" w:sz="1" w:space="8"/>
        </w:pBdr>
        <w:spacing w:after="80"/>
      </w:pPr>
    </w:p>
    <w:p>
      <w:r>
        <w:br w:type="pag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Tela 2 — Mapa (Onde Reciclar)</w:t>
      </w:r>
    </w:p>
    <w:p>
      <w:pPr>
        <w:spacing w:after="160"/>
        <w:jc w:val="center"/>
      </w:pPr>
      <w:r>
        <w:drawing>
          <wp:inline distT="0" distB="0" distL="0" distR="0">
            <wp:extent cx="2286000" cy="4810125"/>
            <wp:effectExtent t="0" r="0" b="0" l="0"/>
            <wp:docPr id="1" name="Tela 2 — Mapa (Onde Reciclar)" descr="Tela 2 — Mapa (Onde Reciclar)" title="Tela 2 — Mapa (Onde Recicl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Tela de geolocalização dos ecopontos com mapa interativo. Elementos: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Barra de busca: </w:t>
      </w:r>
      <w:r>
        <w:rPr>
          <w:rFonts w:ascii="Arial" w:cs="Arial" w:eastAsia="Arial" w:hAnsi="Arial"/>
          <w:sz w:val="22"/>
          <w:szCs w:val="22"/>
        </w:rPr>
        <w:t xml:space="preserve">Campo "Digite o Endereço" com botão de GPS para centralizar na localização atual.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Pins coloridos: </w:t>
      </w:r>
      <w:r>
        <w:rPr>
          <w:rFonts w:ascii="Arial" w:cs="Arial" w:eastAsia="Arial" w:hAnsi="Arial"/>
          <w:sz w:val="22"/>
          <w:szCs w:val="22"/>
        </w:rPr>
        <w:t xml:space="preserve">Diferentes cores de marcadores representam tipos distintos de equipamentos, permitindo identificação visual rápida no mapa.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Filtros: </w:t>
      </w:r>
      <w:r>
        <w:rPr>
          <w:rFonts w:ascii="Arial" w:cs="Arial" w:eastAsia="Arial" w:hAnsi="Arial"/>
          <w:sz w:val="22"/>
          <w:szCs w:val="22"/>
        </w:rPr>
        <w:t xml:space="preserve">Abas "Todos" e "Meus Favoritos" na parte inferior permitem filtrar resultados.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Card de detalhe: </w:t>
      </w:r>
      <w:r>
        <w:rPr>
          <w:rFonts w:ascii="Arial" w:cs="Arial" w:eastAsia="Arial" w:hAnsi="Arial"/>
          <w:sz w:val="22"/>
          <w:szCs w:val="22"/>
        </w:rPr>
        <w:t xml:space="preserve">Ao selecionar um pin, exibe informação do local (ex: "Loja 03: Mercadão atacadista — Guarujá").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Análise UX: </w:t>
      </w:r>
      <w:r>
        <w:rPr>
          <w:rFonts w:ascii="Arial" w:cs="Arial" w:eastAsia="Arial" w:hAnsi="Arial"/>
          <w:sz w:val="22"/>
          <w:szCs w:val="22"/>
        </w:rPr>
        <w:t xml:space="preserve">Mapa bem implementado com GPS nativo. A variedade de ícones/cores pode confundir sem legenda visível na tela (diferente dos wireframes do onboarding). Boa funcionalidade de favoritos. Para o EcoMed: mapear farmácias e UBS como pontos de coleta com a mesma abordagem visual.</w:t>
      </w:r>
    </w:p>
    <w:p>
      <w:pPr>
        <w:pBdr>
          <w:bottom w:val="single" w:color="81C784" w:sz="1" w:space="8"/>
        </w:pBdr>
        <w:spacing w:after="80"/>
      </w:pPr>
    </w:p>
    <w:p>
      <w:r>
        <w:br w:type="pag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Tela 3 — Trocas (Catálogo de Benefícios)</w:t>
      </w:r>
    </w:p>
    <w:p>
      <w:pPr>
        <w:spacing w:after="160"/>
        <w:jc w:val="center"/>
      </w:pPr>
      <w:r>
        <w:drawing>
          <wp:inline distT="0" distB="0" distL="0" distR="0">
            <wp:extent cx="2286000" cy="4810125"/>
            <wp:effectExtent t="0" r="0" b="0" l="0"/>
            <wp:docPr id="1" name="Tela 3 — Trocas (Catálogo de Benefícios)" descr="Tela 3 — Trocas (Catálogo de Benefícios)" title="Tela 3 — Trocas (Catálogo de Benefíci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Central de troca de Tricoins por benefícios reais. Elementos: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Lista com logos: </w:t>
      </w:r>
      <w:r>
        <w:rPr>
          <w:rFonts w:ascii="Arial" w:cs="Arial" w:eastAsia="Arial" w:hAnsi="Arial"/>
          <w:sz w:val="22"/>
          <w:szCs w:val="22"/>
        </w:rPr>
        <w:t xml:space="preserve">Cada opção mostra o logo do parceiro, a conversão (ex: "2.500 Tricoins = R$ 5,00") e o nome do benefício.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Variedade: </w:t>
      </w:r>
      <w:r>
        <w:rPr>
          <w:rFonts w:ascii="Arial" w:cs="Arial" w:eastAsia="Arial" w:hAnsi="Arial"/>
          <w:sz w:val="22"/>
          <w:szCs w:val="22"/>
        </w:rPr>
        <w:t xml:space="preserve">Visíveis na tela: iFood Card (R$ 5,00), Recarga de celular (R$ 0,35), Mercado Pago (R$ 0,15), PagBank (R$ 0,15), Bilhete Único SP (R$ 0,35), Salvador Card BA (R$ 0,25), Bilhete Único Fortaleza (R$ 0,35).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Busca: </w:t>
      </w:r>
      <w:r>
        <w:rPr>
          <w:rFonts w:ascii="Arial" w:cs="Arial" w:eastAsia="Arial" w:hAnsi="Arial"/>
          <w:sz w:val="22"/>
          <w:szCs w:val="22"/>
        </w:rPr>
        <w:t xml:space="preserve">Campo "Pesquisar" no topo para filtrar opções. Botão de filtro/ordenação.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Análise UX: </w:t>
      </w:r>
      <w:r>
        <w:rPr>
          <w:rFonts w:ascii="Arial" w:cs="Arial" w:eastAsia="Arial" w:hAnsi="Arial"/>
          <w:sz w:val="22"/>
          <w:szCs w:val="22"/>
        </w:rPr>
        <w:t xml:space="preserve">Interface limpa e organizada. A presença de logos reais gera confiança. Ponto fraco: valores muito baixos de conversão (R$ 0,15 por 100 Tricoins) podem desmotivar. Conforme avaliações na App Store, muitas trocas apresentam erros técnicos. Para o EcoMed: parcerias com farmácias locais seriam mais alinhadas ao propósito.</w:t>
      </w:r>
    </w:p>
    <w:p>
      <w:pPr>
        <w:pBdr>
          <w:bottom w:val="single" w:color="81C784" w:sz="1" w:space="8"/>
        </w:pBdr>
        <w:spacing w:after="80"/>
      </w:pPr>
    </w:p>
    <w:p>
      <w:r>
        <w:br w:type="pag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Tela 4 — Doações (Impacto Social)</w:t>
      </w:r>
    </w:p>
    <w:p>
      <w:pPr>
        <w:spacing w:after="160"/>
        <w:jc w:val="center"/>
      </w:pPr>
      <w:r>
        <w:drawing>
          <wp:inline distT="0" distB="0" distL="0" distR="0">
            <wp:extent cx="2286000" cy="4810125"/>
            <wp:effectExtent t="0" r="0" b="0" l="0"/>
            <wp:docPr id="1" name="Tela 4 — Doações (Impacto Social)" descr="Tela 4 — Doações (Impacto Social)" title="Tela 4 — Doações (Impacto Soc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dedicada à doação de Tricoins para instituições filantrópicas. Elementos: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Lista de instituições: </w:t>
      </w:r>
      <w:r>
        <w:rPr>
          <w:rFonts w:ascii="Arial" w:cs="Arial" w:eastAsia="Arial" w:hAnsi="Arial"/>
          <w:sz w:val="22"/>
          <w:szCs w:val="22"/>
        </w:rPr>
        <w:t xml:space="preserve">Exibe logo, nome e breve descrição de cada ONG parceira: Casa do Zezinho, Projeto Arrastão, Fundação Fenômenos, Instituto Prematuro, Maria de Nazaré, APAE Petrópolis, APAE Campos do Jordão, entre outras.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Busca: </w:t>
      </w:r>
      <w:r>
        <w:rPr>
          <w:rFonts w:ascii="Arial" w:cs="Arial" w:eastAsia="Arial" w:hAnsi="Arial"/>
          <w:sz w:val="22"/>
          <w:szCs w:val="22"/>
        </w:rPr>
        <w:t xml:space="preserve">Campo de pesquisa para filtrar instituições por nome.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Navegação: </w:t>
      </w:r>
      <w:r>
        <w:rPr>
          <w:rFonts w:ascii="Arial" w:cs="Arial" w:eastAsia="Arial" w:hAnsi="Arial"/>
          <w:sz w:val="22"/>
          <w:szCs w:val="22"/>
        </w:rPr>
        <w:t xml:space="preserve">Seta de navegação em cada item leva aos detalhes da instituição.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Análise UX: </w:t>
      </w:r>
      <w:r>
        <w:rPr>
          <w:rFonts w:ascii="Arial" w:cs="Arial" w:eastAsia="Arial" w:hAnsi="Arial"/>
          <w:sz w:val="22"/>
          <w:szCs w:val="22"/>
        </w:rPr>
        <w:t xml:space="preserve">Excelente feature de impacto social. Dá propósito além da recompensa pessoal. Quando o limite diário é atingido, Tricoins excedentes vão automaticamente para doação — mecânica inteligente. Para o EcoMed: parcerias com hospitais, postos de saúde ou ONGs de saúde como destino de doações simbólicas.</w:t>
      </w:r>
    </w:p>
    <w:p>
      <w:pPr>
        <w:pBdr>
          <w:bottom w:val="single" w:color="81C784" w:sz="1" w:space="8"/>
        </w:pBdr>
        <w:spacing w:after="80"/>
      </w:pPr>
    </w:p>
    <w:p>
      <w:r>
        <w:br w:type="pag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Tela 5 — Gamificação (Missões e Medalhas)</w:t>
      </w:r>
    </w:p>
    <w:p>
      <w:pPr>
        <w:spacing w:after="160"/>
        <w:jc w:val="center"/>
      </w:pPr>
      <w:r>
        <w:drawing>
          <wp:inline distT="0" distB="0" distL="0" distR="0">
            <wp:extent cx="2286000" cy="4810125"/>
            <wp:effectExtent t="0" r="0" b="0" l="0"/>
            <wp:docPr id="1" name="Tela 5 — Gamificação (Missões e Medalhas)" descr="Tela 5 — Gamificação (Missões e Medalhas)" title="Tela 5 — Gamificação (Missões e Medalh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Hub de gamificação com abas Status, Medalhas e Missões. Elementos: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Perfil gamer: </w:t>
      </w:r>
      <w:r>
        <w:rPr>
          <w:rFonts w:ascii="Arial" w:cs="Arial" w:eastAsia="Arial" w:hAnsi="Arial"/>
          <w:sz w:val="22"/>
          <w:szCs w:val="22"/>
        </w:rPr>
        <w:t xml:space="preserve">Avatar, nome, nível ("Nível 1 — Semente"), barra de progresso de pontos (4/16), botão de compartilhamento social.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Abas: </w:t>
      </w:r>
      <w:r>
        <w:rPr>
          <w:rFonts w:ascii="Arial" w:cs="Arial" w:eastAsia="Arial" w:hAnsi="Arial"/>
          <w:sz w:val="22"/>
          <w:szCs w:val="22"/>
        </w:rPr>
        <w:t xml:space="preserve">Status (ranking/dados), Medalhas (conquistas), Missões (desafios ativos). A aba Missões tem indicador de notificação (ponto verde).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Missões escalonadas: </w:t>
      </w:r>
      <w:r>
        <w:rPr>
          <w:rFonts w:ascii="Arial" w:cs="Arial" w:eastAsia="Arial" w:hAnsi="Arial"/>
          <w:sz w:val="22"/>
          <w:szCs w:val="22"/>
        </w:rPr>
        <w:t xml:space="preserve">"Alumínio Semanal Bronze" (15 embalagens, 1 ponto), "Prata" (30 emb., 2 pts), "Ouro" (50 emb., 3 pts), "Esmeralda". Progress rings circulares mostram avanço (7/15 no Bronze).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Desafio social: </w:t>
      </w:r>
      <w:r>
        <w:rPr>
          <w:rFonts w:ascii="Arial" w:cs="Arial" w:eastAsia="Arial" w:hAnsi="Arial"/>
          <w:sz w:val="22"/>
          <w:szCs w:val="22"/>
        </w:rPr>
        <w:t xml:space="preserve">"Desafio social Triciclo" com marca parceira (Colgate): "Seja o maior reciclador nas máquinas da Colgate." Integração B2B visível.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Tags: </w:t>
      </w:r>
      <w:r>
        <w:rPr>
          <w:rFonts w:ascii="Arial" w:cs="Arial" w:eastAsia="Arial" w:hAnsi="Arial"/>
          <w:sz w:val="22"/>
          <w:szCs w:val="22"/>
        </w:rPr>
        <w:t xml:space="preserve">Filtros "Todas" e "Especiais" para segmentar missões.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Análise UX: </w:t>
      </w:r>
      <w:r>
        <w:rPr>
          <w:rFonts w:ascii="Arial" w:cs="Arial" w:eastAsia="Arial" w:hAnsi="Arial"/>
          <w:sz w:val="22"/>
          <w:szCs w:val="22"/>
        </w:rPr>
        <w:t xml:space="preserve">Sistema de gamificação robusto e bem estruturado. O escalonamento Bronze/Prata/Ouro/Esmeralda cria metas progressivas claras. Rings de progresso são motivadores. A integração com marcas (Colgate) demonstra modelo de negócio B2B. Para o EcoMed: adaptar com missões como "Descarte 5 medicamentos esta semana" com níveis de complexidade.</w:t>
      </w:r>
    </w:p>
    <w:p>
      <w:pPr>
        <w:pBdr>
          <w:bottom w:val="single" w:color="81C784" w:sz="1" w:space="8"/>
        </w:pBdr>
        <w:spacing w:after="80"/>
      </w:pPr>
    </w:p>
    <w:p>
      <w:r>
        <w:br w:type="pag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Tela 6 — Extrato de Transações</w:t>
      </w:r>
    </w:p>
    <w:p>
      <w:pPr>
        <w:spacing w:after="160"/>
        <w:jc w:val="center"/>
      </w:pPr>
      <w:r>
        <w:drawing>
          <wp:inline distT="0" distB="0" distL="0" distR="0">
            <wp:extent cx="2286000" cy="4810125"/>
            <wp:effectExtent t="0" r="0" b="0" l="0"/>
            <wp:docPr id="1" name="Tela 6 — Extrato de Transações" descr="Tela 6 — Extrato de Transações" title="Tela 6 — Extrato de Trans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Tela de histórico financeiro dos Tricoins. Elementos: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Gráfico de barras: </w:t>
      </w:r>
      <w:r>
        <w:rPr>
          <w:rFonts w:ascii="Arial" w:cs="Arial" w:eastAsia="Arial" w:hAnsi="Arial"/>
          <w:sz w:val="22"/>
          <w:szCs w:val="22"/>
        </w:rPr>
        <w:t xml:space="preserve">Visualização mensal (Jun–Nov) de Tricoins acumulados, permitindo acompanhar evolução ao longo do tempo. Navegação entre meses com setas.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Lista de transações: </w:t>
      </w:r>
      <w:r>
        <w:rPr>
          <w:rFonts w:ascii="Arial" w:cs="Arial" w:eastAsia="Arial" w:hAnsi="Arial"/>
          <w:sz w:val="22"/>
          <w:szCs w:val="22"/>
        </w:rPr>
        <w:t xml:space="preserve">Cada entrada mostra tipo (ícone de reciclagem ou coração), nome ("Reciclagem" ou "Doação"), data/hora, e valor em TRC (+15, -15, 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Limite excedido: </w:t>
      </w:r>
      <w:r>
        <w:rPr>
          <w:rFonts w:ascii="Arial" w:cs="Arial" w:eastAsia="Arial" w:hAnsi="Arial"/>
          <w:sz w:val="22"/>
          <w:szCs w:val="22"/>
        </w:rPr>
        <w:t xml:space="preserve">Transparência: quando o limite diário é excedido, aparece "0 TRC" com mensagem "Limite diário excedido. Pontos extras foram doados."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Botão de visibilidade: </w:t>
      </w:r>
      <w:r>
        <w:rPr>
          <w:rFonts w:ascii="Arial" w:cs="Arial" w:eastAsia="Arial" w:hAnsi="Arial"/>
          <w:sz w:val="22"/>
          <w:szCs w:val="22"/>
        </w:rPr>
        <w:t xml:space="preserve">Ícone de olho no canto superior permite ocultar/exibir valores.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Análise UX: </w:t>
      </w:r>
      <w:r>
        <w:rPr>
          <w:rFonts w:ascii="Arial" w:cs="Arial" w:eastAsia="Arial" w:hAnsi="Arial"/>
          <w:sz w:val="22"/>
          <w:szCs w:val="22"/>
        </w:rPr>
        <w:t xml:space="preserve">Design inspirado em apps bancários (dark mode, gráfico, lista de transações, botão de ocultar saldo). Gera senso de "valor real" dos Tricoins. A transparência sobre o limite excedido é positiva. Para o EcoMed: adotar padrão similar de extrato para gerar senso de acumulação e progresso.</w:t>
      </w:r>
    </w:p>
    <w:p>
      <w:pPr>
        <w:pBdr>
          <w:bottom w:val="single" w:color="81C784" w:sz="1" w:space="8"/>
        </w:pBdr>
        <w:spacing w:after="80"/>
      </w:pP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Fluxo do Usuário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3.1 Cadastro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usuário pode criar conta por três canais: app (iOS/Android), site (cliente.triciclo.eco.br) ou nas próprias máquinas. Exige nome, e-mail, CPF/CNPJ, senha de acesso (mín. 8 caracteres complexos) e senha de máquina (4-6 dígitos).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3.2 Jornada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Localizar ponto de coleta — Mapa interativo "Onde Reciclar" com GPS e filtros.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na máquina — Autenticação com senha de máquina no equipamento físico.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Depositar resíduos — Inserir embalagens (Retorna Machine), medicamentos (Recicla Pharma) ou materiais diversos (Deixaki).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Acumular Tricoins — Crédito imediato após depósito (com sincronização offline).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Trocar por benefícios — Converter Tricoins em recompensas pelo 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Participar de desafios — Completar missões de gamificação para subir de nível.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Sistema de Gamificação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Implementada na versão 2.0 (julho/2024). Opera em quatro eixos: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Níveis de progresso: </w:t>
      </w:r>
      <w:r>
        <w:rPr>
          <w:rFonts w:ascii="Arial" w:cs="Arial" w:eastAsia="Arial" w:hAnsi="Arial"/>
          <w:sz w:val="22"/>
          <w:szCs w:val="22"/>
        </w:rPr>
        <w:t xml:space="preserve">De "Semente" até "Árvore". Nível máximo multiplica Tricoins por 1,4x.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Missões escalonadas: </w:t>
      </w:r>
      <w:r>
        <w:rPr>
          <w:rFonts w:ascii="Arial" w:cs="Arial" w:eastAsia="Arial" w:hAnsi="Arial"/>
          <w:sz w:val="22"/>
          <w:szCs w:val="22"/>
        </w:rPr>
        <w:t xml:space="preserve">Bronze/Prata/Ouro/Esmeralda por tipo de material. Marcas parceiras criam desafios personalizados (ex: Colgate).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Ranking social: </w:t>
      </w:r>
      <w:r>
        <w:rPr>
          <w:rFonts w:ascii="Arial" w:cs="Arial" w:eastAsia="Arial" w:hAnsi="Arial"/>
          <w:sz w:val="22"/>
          <w:szCs w:val="22"/>
        </w:rPr>
        <w:t xml:space="preserve">Usuários ranqueados por quantidade de reciclagens. Seção "Status" no perfil gamer.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Medalhas: </w:t>
      </w:r>
      <w:r>
        <w:rPr>
          <w:rFonts w:ascii="Arial" w:cs="Arial" w:eastAsia="Arial" w:hAnsi="Arial"/>
          <w:sz w:val="22"/>
          <w:szCs w:val="22"/>
        </w:rPr>
        <w:t xml:space="preserve">Conquistas desbloqueáveis ao atingir marcos específicos.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Sistema de Recompensas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Tabela de pontuação por material: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Tricoins/Unidade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Alumínio (lata)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 Tricoins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Plástico (PET, PP, 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 Tricoins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Aço / Longa Vida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 Tricoins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Vidro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Tricoins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Principais opções de troca (conforme screenshot da Tela 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Conversão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iFood Card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2.500 Tricoins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R$ 5,00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Pix (qualquer banco)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150 Tricoins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R$ 1,00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Recarga Celular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 Tricoins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R$ 0,35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Mercado Pago / PagBank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 Tricoins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R$ 0,15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Bilhete Único SP / Fortaleza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 Tricoins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R$ 0,35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Salvador Card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 Tricoins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R$ 0,25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Doação para ONGs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Qualquer valor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Repasse integral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Análise de Pontos Fortes e Fracos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6.1 Pontos Fortes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Diversidade de recompensas: </w:t>
      </w:r>
      <w:r>
        <w:rPr>
          <w:rFonts w:ascii="Arial" w:cs="Arial" w:eastAsia="Arial" w:hAnsi="Arial"/>
          <w:sz w:val="22"/>
          <w:szCs w:val="22"/>
        </w:rPr>
        <w:t xml:space="preserve">Catálogo amplo com iFood, Pix, Uber, conta de luz, transporte público e doações. Atende diferentes perfis.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Gamificação robusta: </w:t>
      </w:r>
      <w:r>
        <w:rPr>
          <w:rFonts w:ascii="Arial" w:cs="Arial" w:eastAsia="Arial" w:hAnsi="Arial"/>
          <w:sz w:val="22"/>
          <w:szCs w:val="22"/>
        </w:rPr>
        <w:t xml:space="preserve">Níveis temáticos, missões escalonadas (Bronze→Esmeralda), ranking social e medalhas. Loop de engajamento consistente.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Escala nacional: </w:t>
      </w:r>
      <w:r>
        <w:rPr>
          <w:rFonts w:ascii="Arial" w:cs="Arial" w:eastAsia="Arial" w:hAnsi="Arial"/>
          <w:sz w:val="22"/>
          <w:szCs w:val="22"/>
        </w:rPr>
        <w:t xml:space="preserve">600+ ecopontos em 83 cidades/18 estados. Credibilidade e acessibilidade.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Integração phygital: </w:t>
      </w:r>
      <w:r>
        <w:rPr>
          <w:rFonts w:ascii="Arial" w:cs="Arial" w:eastAsia="Arial" w:hAnsi="Arial"/>
          <w:sz w:val="22"/>
          <w:szCs w:val="22"/>
        </w:rPr>
        <w:t xml:space="preserve">App digital + equipamentos físicos criam experiência completa.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Parcerias B2B: </w:t>
      </w:r>
      <w:r>
        <w:rPr>
          <w:rFonts w:ascii="Arial" w:cs="Arial" w:eastAsia="Arial" w:hAnsi="Arial"/>
          <w:sz w:val="22"/>
          <w:szCs w:val="22"/>
        </w:rPr>
        <w:t xml:space="preserve">Marcas (Colgate, Ambev) criam desafios personalizados. Modelo de receita sustentável.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Impacto social: </w:t>
      </w:r>
      <w:r>
        <w:rPr>
          <w:rFonts w:ascii="Arial" w:cs="Arial" w:eastAsia="Arial" w:hAnsi="Arial"/>
          <w:sz w:val="22"/>
          <w:szCs w:val="22"/>
        </w:rPr>
        <w:t xml:space="preserve">Seção de doações para ONGs reais. Tricoins excedentes viram doação automática.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Descarte de medicamentos: </w:t>
      </w:r>
      <w:r>
        <w:rPr>
          <w:rFonts w:ascii="Arial" w:cs="Arial" w:eastAsia="Arial" w:hAnsi="Arial"/>
          <w:sz w:val="22"/>
          <w:szCs w:val="22"/>
        </w:rPr>
        <w:t xml:space="preserve">O Recicla Pharma comprova viabilidade técnica para coleta de fármacos — diretamente relevante ao EcoMed.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6.2 Pontos Fracos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Instabilidade técnica: </w:t>
      </w:r>
      <w:r>
        <w:rPr>
          <w:rFonts w:ascii="Arial" w:cs="Arial" w:eastAsia="Arial" w:hAnsi="Arial"/>
          <w:sz w:val="22"/>
          <w:szCs w:val="22"/>
        </w:rPr>
        <w:t xml:space="preserve">Logout automático, erros nas trocas (Pix, Uber, Metrô), pontos não computados. Nota 3,1/5 na App Store.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Máquinas inoperantes: </w:t>
      </w:r>
      <w:r>
        <w:rPr>
          <w:rFonts w:ascii="Arial" w:cs="Arial" w:eastAsia="Arial" w:hAnsi="Arial"/>
          <w:sz w:val="22"/>
          <w:szCs w:val="22"/>
        </w:rPr>
        <w:t xml:space="preserve">Equipamentos fora de operação ou cheios são reclamação recorrente.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Valor percebido baixo: </w:t>
      </w:r>
      <w:r>
        <w:rPr>
          <w:rFonts w:ascii="Arial" w:cs="Arial" w:eastAsia="Arial" w:hAnsi="Arial"/>
          <w:sz w:val="22"/>
          <w:szCs w:val="22"/>
        </w:rPr>
        <w:t xml:space="preserve">150 Tricoins = R$1,00 via Pix. Uma lata de alumínio (15 Tricoins) vale ~R$0,10.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Dependência de hardware: </w:t>
      </w:r>
      <w:r>
        <w:rPr>
          <w:rFonts w:ascii="Arial" w:cs="Arial" w:eastAsia="Arial" w:hAnsi="Arial"/>
          <w:sz w:val="22"/>
          <w:szCs w:val="22"/>
        </w:rPr>
        <w:t xml:space="preserve">App só gera valor com equipamento físico funcional próximo.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Suporte lento: </w:t>
      </w:r>
      <w:r>
        <w:rPr>
          <w:rFonts w:ascii="Arial" w:cs="Arial" w:eastAsia="Arial" w:hAnsi="Arial"/>
          <w:sz w:val="22"/>
          <w:szCs w:val="22"/>
        </w:rPr>
        <w:t xml:space="preserve">Tempo médio de 11 dias no Reclame Aqui. Resolução de 60%.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Idioma inconsistente: </w:t>
      </w:r>
      <w:r>
        <w:rPr>
          <w:rFonts w:ascii="Arial" w:cs="Arial" w:eastAsia="Arial" w:hAnsi="Arial"/>
          <w:sz w:val="22"/>
          <w:szCs w:val="22"/>
        </w:rPr>
        <w:t xml:space="preserve">Listado como "Inglês" na App Store, mas opera em português.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Acessibilidade ausente: </w:t>
      </w:r>
      <w:r>
        <w:rPr>
          <w:rFonts w:ascii="Arial" w:cs="Arial" w:eastAsia="Arial" w:hAnsi="Arial"/>
          <w:sz w:val="22"/>
          <w:szCs w:val="22"/>
        </w:rPr>
        <w:t xml:space="preserve">Nenhum recurso de acessibilidade declarado na App Store.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Lições para o Projeto EcoMed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 para o EcoMed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Adotar sistema de níveis e missões, mas com temática de saúde ("Cuidador Iniciante" → "Guardião da Saúde"). Escalonar Bronze/Prata/Ouro como o Triciclo.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Focar em badges, certificados digitais, ranking comunitário e parcerias com farmácias — alto valor percebido, baixo custo operacional.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rigoroso antes do lançamento. A maior fraqueza do Triciclo é instabilidade. PWA deve funcionar offline de forma robusta.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Independência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Não depender de hardware. PWA com geolocalização de farmácias/UBS já existentes evita o gargalo do Triciclo.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Suporte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Fluxo de suporte ágil dentro do app. Chatbot + FAQ contextual. 11 dias do Triciclo é inaceitável.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Educação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Diferenciar com conteúdo educativo sobre impacto ambiental dos medicamentos. Triciclo foca em recompensa financeira; EcoMed pode engajar por consciência.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WCAG 2.1 desde o início. Diferencial competitivo que o Triciclo ignora.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Adaptar modelo de doação do Triciclo: usuários podem doar pontos para hospitais, postos de saúde ou ONGs de saúde.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1"/>
        <w:pBdr>
          <w:bottom w:val="single" w:color="4CAF50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Conclusão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Ambipar Triciclo é uma referência importante no ecossistema brasileiro de reciclagem digital. Sua proposta de transformar resíduos em benefícios tangíveis, combinada com gamificação e escala nacional, demonstra que o modelo de incentivo por pontos funciona para mobilizar populações urbanas. O componente Recicla Pharma comprova viabilidade técnica e demanda para descarte correto de medicamentos.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entanto, as falhas técnicas graves (nota 3,1/5), a dependência de hardware proprietário e o suporte deficiente mostram que execução técnica e experiência do usuário são tão críticas quanto a proposta de valor.</w:t>
      </w:r>
    </w:p>
    <w:p>
      <w:pPr>
        <w:spacing w:after="160" w:line="276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EcoMed tem a oportunidade de absorver as melhores práticas do Triciclo (gamificação escalonada, variedade de recompensas, mapa de pontos, doações sociais) enquanto evita seus erros críticos (instabilidade, dependência de hardware, suporte lento). O posicionamento como PWA focada exclusivamente em medicamentos, com conteúdo educativo e independência de equipamentos, pode criar um nicho diferenciado e complementar.</w:t>
      </w:r>
    </w:p>
    <w:p>
      <w:pPr>
        <w:pBdr>
          <w:top w:val="single" w:color="81C784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Fontes: App Store Brasil, Google Play, triciclo.eco.br, retornamachine.eco.br, ambipar.com, Reclame Aqui, ESG Inside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Página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1C784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Benchmark — Ambipar Triciclo</w:t>
    </w:r>
    <w:r>
      <w:rPr>
        <w:rFonts w:ascii="Arial" w:cs="Arial" w:eastAsia="Arial" w:hAnsi="Arial"/>
        <w:i/>
        <w:iCs/>
        <w:color w:val="4CAF50"/>
        <w:sz w:val="18"/>
        <w:szCs w:val="18"/>
      </w:rPr>
      <w:t xml:space="preserve">	Projeto EcoMed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6faffb36ec033fed538df1ede369942a7c1174.png"/><Relationship Id="rId10" Type="http://schemas.openxmlformats.org/officeDocument/2006/relationships/image" Target="media/fe49567eb8e59a33197ed287b7a5396509d3517f.png"/><Relationship Id="rId11" Type="http://schemas.openxmlformats.org/officeDocument/2006/relationships/image" Target="media/565ea62320d515134a65c937ee77921220c36145.png"/><Relationship Id="rId12" Type="http://schemas.openxmlformats.org/officeDocument/2006/relationships/image" Target="media/6bcd80fb13a9069df84fb2906ba12273b788f235.png"/><Relationship Id="rId13" Type="http://schemas.openxmlformats.org/officeDocument/2006/relationships/image" Target="media/fed652bafea84e6295772ec5c06c364d4a0314a9.png"/><Relationship Id="rId14" Type="http://schemas.openxmlformats.org/officeDocument/2006/relationships/image" Target="media/f75bae83a529c4d2bc33ab38556682782c7d686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2026-03-30T23:49:10.812Z</dcterms:created>
  <dcterms:modified xsi:type="dcterms:W3CDTF">2026-03-30T23:49:10.813Z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