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</w:rPr>
        <w:t>Investment Memo: TECH</w:t>
      </w:r>
    </w:p>
    <w:p>
      <w:pPr>
        <w:jc w:val="center"/>
      </w:pPr>
      <w:r>
        <w:rPr>
          <w:b/>
          <w:color w:val="1F4788"/>
          <w:sz w:val="24"/>
        </w:rPr>
        <w:t>TECH Corporation</w:t>
      </w:r>
    </w:p>
    <w:p>
      <w:pPr>
        <w:jc w:val="center"/>
      </w:pPr>
      <w:r>
        <w:rPr>
          <w:color w:val="808080"/>
          <w:sz w:val="20"/>
        </w:rPr>
        <w:t>December 16, 2025</w:t>
      </w:r>
    </w:p>
    <w:p/>
    <w:p>
      <w:pPr>
        <w:pStyle w:val="Heading1"/>
        <w:spacing w:after="120"/>
      </w:pPr>
      <w:r>
        <w:rPr>
          <w:color w:val="1F4788"/>
        </w:rPr>
        <w:t>Executive Summary</w:t>
      </w:r>
    </w:p>
    <w:p>
      <w:r>
        <w:t>TECH Corporation demonstrates moderate financial performance with revenue of $1,823M and net income of $201M. The company shows a positive revenue growth trend of 8.0% and maintains a moderate profit margin of 11.0%. Based on our analysis, we recommend a HOLD position.</w:t>
      </w:r>
    </w:p>
    <w:p/>
    <w:p>
      <w:pPr>
        <w:pStyle w:val="Heading1"/>
        <w:spacing w:after="120"/>
      </w:pPr>
      <w:r>
        <w:rPr>
          <w:color w:val="1F4788"/>
        </w:rPr>
        <w:t>Key Financial Metrics</w:t>
      </w:r>
    </w:p>
    <w:p>
      <w:pPr>
        <w:spacing w:after="60"/>
      </w:pPr>
      <w:r>
        <w:rPr>
          <w:b/>
          <w:sz w:val="20"/>
        </w:rPr>
        <w:t xml:space="preserve">Revenue (TTM): </w:t>
      </w:r>
      <w:r>
        <w:rPr>
          <w:sz w:val="20"/>
        </w:rPr>
        <w:t>$1,823M</w:t>
      </w:r>
    </w:p>
    <w:p>
      <w:pPr>
        <w:spacing w:after="60"/>
      </w:pPr>
      <w:r>
        <w:rPr>
          <w:b/>
          <w:sz w:val="20"/>
        </w:rPr>
        <w:t xml:space="preserve">Net Income (TTM): </w:t>
      </w:r>
      <w:r>
        <w:rPr>
          <w:sz w:val="20"/>
        </w:rPr>
        <w:t>$201M</w:t>
      </w:r>
    </w:p>
    <w:p>
      <w:pPr>
        <w:spacing w:after="60"/>
      </w:pPr>
      <w:r>
        <w:rPr>
          <w:b/>
          <w:sz w:val="20"/>
        </w:rPr>
        <w:t xml:space="preserve">Profit Margin: </w:t>
      </w:r>
      <w:r>
        <w:rPr>
          <w:sz w:val="20"/>
        </w:rPr>
        <w:t>11.0%</w:t>
      </w:r>
    </w:p>
    <w:p>
      <w:pPr>
        <w:spacing w:after="60"/>
      </w:pPr>
      <w:r>
        <w:rPr>
          <w:b/>
          <w:sz w:val="20"/>
        </w:rPr>
        <w:t xml:space="preserve">Revenue Growth (YoY): </w:t>
      </w:r>
      <w:r>
        <w:rPr>
          <w:sz w:val="20"/>
        </w:rPr>
        <w:t>+8.0%</w:t>
      </w:r>
    </w:p>
    <w:p>
      <w:pPr>
        <w:spacing w:after="60"/>
      </w:pPr>
      <w:r>
        <w:rPr>
          <w:b/>
          <w:sz w:val="20"/>
        </w:rPr>
        <w:t xml:space="preserve">ROE: </w:t>
      </w:r>
      <w:r>
        <w:rPr>
          <w:sz w:val="20"/>
        </w:rPr>
        <w:t>8.5%</w:t>
      </w:r>
    </w:p>
    <w:p>
      <w:pPr>
        <w:spacing w:after="60"/>
      </w:pPr>
      <w:r>
        <w:rPr>
          <w:b/>
          <w:sz w:val="20"/>
        </w:rPr>
        <w:t xml:space="preserve">Current Ratio: </w:t>
      </w:r>
      <w:r>
        <w:rPr>
          <w:sz w:val="20"/>
        </w:rPr>
        <w:t>2.00</w:t>
      </w:r>
    </w:p>
    <w:p>
      <w:pPr>
        <w:spacing w:after="60"/>
      </w:pPr>
      <w:r>
        <w:rPr>
          <w:b/>
          <w:sz w:val="20"/>
        </w:rPr>
        <w:t xml:space="preserve">Debt-to-Equity: </w:t>
      </w:r>
      <w:r>
        <w:rPr>
          <w:sz w:val="20"/>
        </w:rPr>
        <w:t>0.77</w:t>
      </w:r>
    </w:p>
    <w:p/>
    <w:p>
      <w:pPr>
        <w:pStyle w:val="Heading1"/>
        <w:spacing w:after="120"/>
      </w:pPr>
      <w:r>
        <w:rPr>
          <w:color w:val="1F4788"/>
        </w:rPr>
        <w:t>Financial Highlights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3120"/>
          </w:tcPr>
          <w:p>
            <w:r>
              <w:rPr>
                <w:b/>
                <w:color w:val="FFFFFF"/>
                <w:sz w:val="18"/>
              </w:rPr>
              <w:t>Prior Year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$1,823M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$1,732M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Net Income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$201M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$184M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Total Assets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$4,193M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$4,025M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Shareholders' Equity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$2,370M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$2,228M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color w:val="1F4788"/>
        </w:rPr>
        <w:t>Financial Analysis</w:t>
      </w:r>
    </w:p>
    <w:p>
      <w:pPr>
        <w:spacing w:after="120"/>
      </w:pPr>
      <w:r>
        <w:rPr>
          <w:b/>
          <w:sz w:val="20"/>
        </w:rPr>
        <w:t xml:space="preserve">Revenue Performance: </w:t>
      </w:r>
      <w:r>
        <w:t>The company reported revenue of $1,823M, showing moderate growth of 8.0% compared to the prior year. This performance meets industry expectations.</w:t>
      </w:r>
    </w:p>
    <w:p>
      <w:pPr>
        <w:spacing w:after="120"/>
      </w:pPr>
      <w:r>
        <w:rPr>
          <w:b/>
          <w:sz w:val="20"/>
        </w:rPr>
        <w:t xml:space="preserve">Profitability: </w:t>
      </w:r>
      <w:r>
        <w:t>Net income of $201M results in a profit margin of 11.0%, which is in line with industry standards. The company demonstrates weak return on equity of 8.5%, indicating moderate capital utilization.</w:t>
      </w:r>
    </w:p>
    <w:p>
      <w:pPr>
        <w:spacing w:after="120"/>
      </w:pPr>
      <w:r>
        <w:rPr>
          <w:b/>
          <w:sz w:val="20"/>
        </w:rPr>
        <w:t xml:space="preserve">Financial Position: </w:t>
      </w:r>
      <w:r>
        <w:t>The company maintains a current ratio of 2.00, indicating adequate liquidity. Debt-to-equity ratio of 0.77 suggests moderate leverage positioning.</w:t>
      </w:r>
    </w:p>
    <w:p>
      <w:pPr>
        <w:pStyle w:val="Heading1"/>
        <w:spacing w:after="120"/>
      </w:pPr>
      <w:r>
        <w:rPr>
          <w:color w:val="1F4788"/>
        </w:rPr>
        <w:t>Investment Recommendation</w:t>
      </w:r>
    </w:p>
    <w:p>
      <w:r>
        <w:t>Based on our comprehensive financial analysis, we recommend a HOLD position on TECH. The company shows mixed signals with moderate financial metrics and neutral growth prospects. Notable factors include mixed performance indicators and uncertain outlook.</w:t>
      </w:r>
    </w:p>
    <w:p/>
    <w:p>
      <w:pPr>
        <w:pStyle w:val="Heading1"/>
        <w:spacing w:after="120"/>
      </w:pPr>
      <w:r>
        <w:rPr>
          <w:color w:val="1F4788"/>
        </w:rPr>
        <w:t>Key Risk Factors</w:t>
      </w:r>
    </w:p>
    <w:p>
      <w:pPr>
        <w:pStyle w:val="ListBullet"/>
        <w:spacing w:after="40"/>
      </w:pPr>
      <w:r>
        <w:rPr>
          <w:sz w:val="18"/>
        </w:rPr>
        <w:t>Market volatility and economic uncertainty may impact performance</w:t>
      </w:r>
    </w:p>
    <w:p>
      <w:pPr>
        <w:pStyle w:val="ListBullet"/>
        <w:spacing w:after="40"/>
      </w:pPr>
      <w:r>
        <w:rPr>
          <w:sz w:val="18"/>
        </w:rPr>
        <w:t>Competitive pressures in the industry could affect market share</w:t>
      </w:r>
    </w:p>
    <w:p>
      <w:pPr>
        <w:pStyle w:val="ListBullet"/>
        <w:spacing w:after="40"/>
      </w:pPr>
      <w:r>
        <w:rPr>
          <w:sz w:val="18"/>
        </w:rPr>
        <w:t>Regulatory changes may require operational adjustments</w:t>
      </w:r>
    </w:p>
    <w:p>
      <w:pPr>
        <w:pStyle w:val="ListBullet"/>
        <w:spacing w:after="40"/>
      </w:pPr>
      <w:r>
        <w:rPr>
          <w:sz w:val="18"/>
        </w:rPr>
        <w:t>Currency fluctuations could impact international operations</w:t>
      </w:r>
    </w:p>
    <w:p/>
    <w:p>
      <w:pPr>
        <w:jc w:val="center"/>
      </w:pPr>
      <w:r>
        <w:rPr>
          <w:i/>
          <w:color w:val="808080"/>
          <w:sz w:val="16"/>
        </w:rPr>
        <w:t>Investment Memo - TECH | Generated: December 16, 2025 | FCCS MCP Agentic Server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