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Information Architecture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How content is organised — navigation, hierarchy, and what lives where</w:t>
      </w: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THE CORE STRUCTURE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The product has two levels: Studies and Spaces. A Study is the primary unit — an investigation driven by conversation. A Space is an optional folder for grouping related studies. Everything else is an overlay on top of the Study view.</w:t>
      </w:r>
    </w:p>
    <w:p>
      <w:pPr>
        <w:spacing w:after="4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Merlin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Sidebar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persistent, collapsible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Account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brand / agency context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New Study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creates study, opens conversation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Studies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recent, sorted by last updated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Spaces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optional grouping folders (later)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└─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Audiences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opens overlay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Home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default landing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Chat Input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ask a question → creates a Study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Method Pills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pick a method → creates a Study with that method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└─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Recent Studies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resume previous work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Study View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the primary workspace (replaces 'Project Chat')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Conversation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the study's timeline — messages, runs, findings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Floating Input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follow-ups and new research within the study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│  └─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Overlays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method builder, plan review, audiences (modal, not navigation)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└─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Audiences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overlay on any screen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   ├─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List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browse available audiences</w:t>
      </w:r>
    </w:p>
    <w:p>
      <w:pPr>
        <w:spacing w:after="40"/>
      </w:pPr>
      <w:r>
        <w:rPr>
          <w:rFonts w:ascii="Courier New" w:cs="Courier New" w:eastAsia="Courier New" w:hAnsi="Courier New"/>
          <w:color w:val="E5E7EB"/>
          <w:sz w:val="16"/>
          <w:szCs w:val="16"/>
        </w:rPr>
        <w:t xml:space="preserve">   └─ 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Detail</w:t>
      </w:r>
      <w:r>
        <w:rPr>
          <w:rFonts w:ascii="Arial" w:cs="Arial" w:eastAsia="Arial" w:hAnsi="Arial"/>
          <w:color w:val="6B7280"/>
          <w:sz w:val="14"/>
          <w:szCs w:val="14"/>
        </w:rPr>
        <w:t xml:space="preserve">  segments, demographics, 'start study about this'</w:t>
      </w:r>
    </w:p>
    <w:p>
      <w:pPr>
        <w:spacing w:after="10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KEY DECISIONS</w:t>
      </w:r>
    </w:p>
    <w:p>
      <w:pPr>
        <w:spacing w:after="60"/>
      </w:pP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Study-first, not project-first.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Study is the atomic unit. You don't create a project then add studies — you start a study and it lives on its own. Spaces (folders) come later for organisation.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One study = one conversation.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chat IS the study. Research runs, findings, follow-ups, and methodology changes all appear as messages in a single timeline. No tabs, no sub-pages.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A study can contain multiple methods.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You might start with a survey and follow up with a focus group — both within the same study. You're investigating something, not running a single method.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Overlays, not routes.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method builder, plan review, and audiences are modals on top of the Study view. The user never leaves their conversation context. Mental model stays flat: Home and Study, everything else layers on top.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Findings live in the stream.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Research results appear as messages in the conversation — not in a separate results page. This makes follow-ups natural: see findings, ask about them, in the same place.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Spaces are folders, not containers.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A Space groups related studies for organisation ('Q2 Brand Work'). It doesn't own or contain the studies — they exist independently and can be ungrouped.</w:t>
      </w:r>
    </w:p>
    <w:sectPr>
      <w:footerReference w:type="default" r:id="rId6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Merlin — Information Architecture —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2026-02-17T15:29:34.969Z</dcterms:created>
  <dcterms:modified xsi:type="dcterms:W3CDTF">2026-02-17T15:29:34.969Z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