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Interaction Model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How users interact with the system — the entry points, the agent loop, and the patterns</w:t>
      </w: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STARTING A STUDY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Every study starts one of two ways. Both create the same entity — a Study with a conversation timeline.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361EE" w:sz="3"/>
              <w:left w:val="single" w:color="E5E7EB" w:sz="1"/>
              <w:bottom w:val="single" w:color="E5E7EB" w:sz="1"/>
              <w:right w:val="single" w:color="E5E7EB" w:sz="1"/>
            </w:tcBorders>
            <w:shd w:fill="E8EDFD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61EE"/>
                <w:sz w:val="19"/>
                <w:szCs w:val="19"/>
              </w:rPr>
              <w:t xml:space="preserve">Ask a question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Type a natural language question. The agent infers the right method, selects the type, and runs the research. The most common path.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User types question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Agent selects method + type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Simple → runs immediately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Complex → shows plan → user approves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Findings appear in chat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Follow-ups refine the same study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tcW w:type="dxa" w:w="4680"/>
            <w:tcBorders>
              <w:top w:val="single" w:color="065F46" w:sz="3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Pick a method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Select a specific method and type from the picker. Opens the builder overlay to configure, then returns to the conversation with findings.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User picks method + type from picker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Builder opens as overlay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Quick Question → simplified one-page setup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Survey → full wizard (audience, stimulus, questions)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Focus Group → discussion guide builder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Launch → findings appear in chat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Both paths converge on the same thing: findings rendered as messages in the Study conversation. The structured path feeds into the conversational path, not the other way around.</w:t>
      </w:r>
    </w:p>
    <w:p>
      <w:pPr>
        <w:spacing w:after="6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THE AGENT LOOP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6B7280" w:sz="3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1. Input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Natural language query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Optional: method, audience, stimulus</w:t>
            </w:r>
          </w:p>
        </w:tc>
        <w:tc>
          <w:tcPr>
            <w:tcW w:type="dxa" w:w="1560"/>
            <w:tcBorders>
              <w:top w:val="single" w:color="4361EE" w:sz="3"/>
              <w:left w:val="single" w:color="E5E7EB" w:sz="1"/>
              <w:bottom w:val="single" w:color="E5E7EB" w:sz="1"/>
              <w:right w:val="single" w:color="E5E7EB" w:sz="1"/>
            </w:tcBorders>
            <w:shd w:fill="E8EDFD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17"/>
                <w:szCs w:val="17"/>
              </w:rPr>
              <w:t xml:space="preserve">2. Classify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Infer method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Select type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Extract audience + segments</w:t>
            </w:r>
          </w:p>
        </w:tc>
        <w:tc>
          <w:tcPr>
            <w:tcW w:type="dxa" w:w="1560"/>
            <w:tcBorders>
              <w:top w:val="single" w:color="7C3AED" w:sz="3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3. Plan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7C3AED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Assess complexity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7C3AED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Generate study plan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7C3AED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Show plan card if complex</w:t>
            </w:r>
          </w:p>
        </w:tc>
        <w:tc>
          <w:tcPr>
            <w:tcW w:type="dxa" w:w="1560"/>
            <w:tcBorders>
              <w:top w:val="single" w:color="92400E" w:sz="3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4. Execute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API call to Claude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Structured JSON output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Animated process steps</w:t>
            </w:r>
          </w:p>
        </w:tc>
        <w:tc>
          <w:tcPr>
            <w:tcW w:type="dxa" w:w="1560"/>
            <w:tcBorders>
              <w:top w:val="single" w:color="065F46" w:sz="3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5. Render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Results → Findings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Charts, themes, quotes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Inline in conversation</w:t>
            </w:r>
          </w:p>
        </w:tc>
        <w:tc>
          <w:tcPr>
            <w:tcW w:type="dxa" w:w="1560"/>
            <w:tcBorders>
              <w:top w:val="single" w:color="1E40AF" w:sz="3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6. Refine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1E40AF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Follow-up questions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1E40AF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Different method if needed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color w:val="1E40AF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11827"/>
                <w:sz w:val="15"/>
                <w:szCs w:val="15"/>
              </w:rPr>
              <w:t xml:space="preserve">Context carries forward</w:t>
            </w:r>
          </w:p>
        </w:tc>
      </w:tr>
    </w:tbl>
    <w:p>
      <w:pPr>
        <w:spacing w:after="10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CORE PATTERNS</w:t>
      </w:r>
    </w:p>
    <w:p>
      <w:pPr>
        <w:spacing w:after="60"/>
      </w:pP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Action over clarification.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agent defaults to running research, not asking questions. It infers audience and method from context. Users learn what they want by seeing data, not by answering setup forms.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A study is an investigation.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Follow-ups stay in the same study. Changing method (survey → focus group) doesn't create a new study — it adds a new research run to the same investigation. The conversation holds the thread.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Method determines the flow.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Quick Question: one-page setup, instant. Survey: full builder wizard. Focus Group: discussion guide. The builder adapts — it's not three separate UIs, it's one builder with three modes.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Progressive disclosure.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Simple queries get instant results. Complex ones surface a plan card first. Users opt into complexity rather than being forced through it.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Findings are interactive.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Each chart card can be saved, copied, exported. Insights are editable. Users curate, don't just consume.</w:t>
      </w:r>
    </w:p>
    <w:p>
      <w:pPr>
        <w:spacing w:after="20"/>
      </w:pPr>
    </w:p>
    <w:sectPr>
      <w:footerReference w:type="default" r:id="rId6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Merlin — Interaction Model —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2026-02-17T15:29:34.982Z</dcterms:created>
  <dcterms:modified xsi:type="dcterms:W3CDTF">2026-02-17T15:29:34.982Z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