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Object Model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data entities, their relationships, and what gets persisted</w:t>
      </w: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CORE HIERARCHY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Study is the primary entity. A Study is an investigation — a conversation where you use research to understand something. It can contain multiple Runs using different methods. Spaces are organisational folders that come later.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61EE" w:sz="3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Space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(optional folder — later)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└─ </w:t>
            </w: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Study</w:t>
            </w: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  the primary unit — an investigation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├─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Messages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the conversation timeline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├─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Runs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each research execution (survey, focus group,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│  ├─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Method + Type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what approach, what variant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│  ├─ </w:t>
            </w: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Configuration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audience, questions, stimuli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│  └─ 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Results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the output of this 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│     └─ </w:t>
            </w: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Findings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individual insights with charts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5E7EB"/>
                <w:sz w:val="16"/>
                <w:szCs w:val="16"/>
              </w:rPr>
              <w:t xml:space="preserve">       └─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Audiences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referenced across runs</w:t>
            </w:r>
          </w:p>
        </w:tc>
      </w:tr>
    </w:tbl>
    <w:p>
      <w:pPr>
        <w:spacing w:after="12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ENTITIES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361EE" w:sz="3"/>
              <w:left w:val="single" w:color="E5E7EB" w:sz="1"/>
              <w:bottom w:val="single" w:color="E5E7EB" w:sz="1"/>
              <w:right w:val="single" w:color="E5E7EB" w:sz="1"/>
            </w:tcBorders>
            <w:shd w:fill="E8ED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Study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name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(auto from first query)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messages[]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Message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runs[]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Run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audiences[]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ref → Audience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spaceId?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ref → Space (optional)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createdAt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updatedAt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timestamp</w:t>
            </w:r>
          </w:p>
        </w:tc>
        <w:tc>
          <w:tcPr>
            <w:tcW w:type="dxa" w:w="3120"/>
            <w:tcBorders>
              <w:top w:val="single" w:color="065F46" w:sz="3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Run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method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quick_question | survey | focus_group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type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(variant within method)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status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planning | executing | complete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config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{ audience, questions, stimuli 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results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Results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plan?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StudyPlan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createdAt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timestamp</w:t>
            </w:r>
          </w:p>
        </w:tc>
        <w:tc>
          <w:tcPr>
            <w:tcW w:type="dxa" w:w="3120"/>
            <w:tcBorders>
              <w:top w:val="single" w:color="92400E" w:sz="3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Results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findings[]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Finding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respondents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number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abstract?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(executive summary)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keyInsight?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F1239" w:sz="3"/>
              <w:left w:val="single" w:color="E5E7EB" w:sz="1"/>
              <w:bottom w:val="single" w:color="E5E7EB" w:sz="1"/>
              <w:right w:val="single" w:color="E5E7EB" w:sz="1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F1239"/>
                <w:sz w:val="18"/>
                <w:szCs w:val="18"/>
              </w:rPr>
              <w:t xml:space="preserve">Finding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headline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(3–7 words)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insight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(1 sentence)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chartType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bar | grouped_bar | radar | ...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chartData[]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{ label, value, segment? 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conclusion?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(user-editable)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savedAt?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timestamp (bookmarked)</w:t>
            </w:r>
          </w:p>
        </w:tc>
        <w:tc>
          <w:tcPr>
            <w:tcW w:type="dxa" w:w="3120"/>
            <w:tcBorders>
              <w:top w:val="single" w:color="5B21B6" w:sz="3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Audience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name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source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 (panel, CRM, upload)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segments[]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{ name, count, % }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size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number (panel size)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description?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</w:tc>
        <w:tc>
          <w:tcPr>
            <w:tcW w:type="dxa" w:w="3120"/>
            <w:tcBorders>
              <w:top w:val="single" w:color="6B7280" w:sz="3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Space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id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name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studyIds[]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ref → Study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icon?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string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createdAt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/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(later feature)</w:t>
            </w: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  organisational only</w:t>
            </w:r>
          </w:p>
        </w:tc>
      </w:tr>
    </w:tbl>
    <w:p>
      <w:pPr>
        <w:spacing w:after="120"/>
      </w:pPr>
    </w:p>
    <w:p>
      <w:pPr>
        <w:pBdr>
          <w:bottom w:val="single" w:color="4361EE" w:sz="3" w:space="6"/>
        </w:pBdr>
        <w:spacing w:before="280" w:after="100"/>
      </w:pPr>
      <w:r>
        <w:rPr>
          <w:rFonts w:ascii="Arial" w:cs="Arial" w:eastAsia="Arial" w:hAnsi="Arial"/>
          <w:b/>
          <w:bCs/>
          <w:color w:val="4361EE"/>
          <w:spacing w:val="60"/>
          <w:sz w:val="18"/>
          <w:szCs w:val="18"/>
        </w:rPr>
        <w:t xml:space="preserve">RELATIONSHIPS</w:t>
      </w:r>
    </w:p>
    <w:p>
      <w:pPr>
        <w:spacing w:after="60"/>
      </w:pP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Study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has many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Messages (the conversation timeline)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Study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has many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Runs (each research execution)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Study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references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Audiences (shared across runs)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Study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optionally belongs to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Space (for organisation)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Run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has one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Results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Run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has one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Method + Type (what approach, what variant)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Results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has many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Findings (individual insights)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Message (findings)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references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Run + its Findings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4361EE"/>
          <w:sz w:val="16"/>
          <w:szCs w:val="16"/>
        </w:rPr>
        <w:t xml:space="preserve">Space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groups many →  </w:t>
      </w: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Studies (folder, not owner)</w:t>
      </w:r>
    </w:p>
    <w:p>
      <w:pPr>
        <w:spacing w:after="80"/>
      </w:pPr>
    </w:p>
    <w:p>
      <w:pPr>
        <w:spacing w:after="110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Key distinction.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 Study owns its Runs. A Space references Studies but doesn't own them. Deleting a Space doesn't delete the studies inside it — they just become unorganised.</w:t>
      </w:r>
    </w:p>
    <w:sectPr>
      <w:footerReference w:type="default" r:id="rId6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Merlin — Object Model —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2026-02-17T15:29:34.990Z</dcterms:created>
  <dcterms:modified xsi:type="dcterms:W3CDTF">2026-02-17T15:29:34.990Z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