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80"/>
        <w:jc w:val="center"/>
      </w:pPr>
      <w:r>
        <w:rPr>
          <w:rFonts w:ascii="Arial" w:cs="Arial" w:eastAsia="Arial" w:hAnsi="Arial"/>
          <w:b/>
          <w:bCs/>
          <w:color w:val="999999"/>
          <w:sz w:val="20"/>
          <w:szCs w:val="20"/>
        </w:rPr>
        <w:t xml:space="preserve">ELECTRIC TWIN</w:t>
      </w:r>
    </w:p>
    <w:p>
      <w:pPr>
        <w:spacing w:after="200"/>
        <w:jc w:val="center"/>
      </w:pPr>
      <w:r>
        <w:rPr>
          <w:rFonts w:ascii="Arial" w:cs="Arial" w:eastAsia="Arial" w:hAnsi="Arial"/>
          <w:b/>
          <w:bCs/>
          <w:color w:val="1A1A1A"/>
          <w:sz w:val="48"/>
          <w:szCs w:val="48"/>
        </w:rPr>
        <w:t xml:space="preserve">Prototype Code &amp; UX Review</w:t>
      </w:r>
    </w:p>
    <w:p>
      <w:pPr>
        <w:spacing w:after="80"/>
        <w:jc w:val="center"/>
      </w:pPr>
      <w:r>
        <w:rPr>
          <w:rFonts w:ascii="Arial" w:cs="Arial" w:eastAsia="Arial" w:hAnsi="Arial"/>
          <w:color w:val="666666"/>
          <w:sz w:val="22"/>
          <w:szCs w:val="22"/>
        </w:rPr>
        <w:t xml:space="preserve">Comprehensive audit of code quality, UX consistency, and design system</w:t>
      </w:r>
    </w:p>
    <w:p>
      <w:pPr>
        <w:spacing w:before="600" w:after="0"/>
      </w:pPr>
    </w:p>
    <w:p>
      <w:pPr>
        <w:jc w:val="center"/>
      </w:pPr>
      <w:r>
        <w:rPr>
          <w:rFonts w:ascii="Arial" w:cs="Arial" w:eastAsia="Arial" w:hAnsi="Arial"/>
          <w:color w:val="999999"/>
          <w:sz w:val="20"/>
          <w:szCs w:val="20"/>
        </w:rPr>
        <w:t xml:space="preserve">February 2026</w:t>
      </w:r>
    </w:p>
    <w:p>
      <w:r>
        <w:br w:type="page"/>
      </w:r>
    </w:p>
    <w:p>
      <w:pPr>
        <w:pStyle w:val="Heading1"/>
      </w:pPr>
      <w:r>
        <w:rPr>
          <w:rFonts w:ascii="Arial" w:cs="Arial" w:eastAsia="Arial" w:hAnsi="Arial"/>
        </w:rPr>
        <w:t xml:space="preserve">Executive Summary</w:t>
      </w:r>
    </w:p>
    <w:p>
      <w:pPr>
        <w:spacing w:before="60" w:after="60"/>
      </w:pPr>
      <w:r>
        <w:rPr>
          <w:rFonts w:ascii="Arial" w:cs="Arial" w:eastAsia="Arial" w:hAnsi="Arial"/>
          <w:b w:val="false"/>
          <w:bCs w:val="false"/>
          <w:i w:val="false"/>
          <w:iCs w:val="false"/>
          <w:color w:val="333333"/>
          <w:sz w:val="20"/>
          <w:szCs w:val="20"/>
        </w:rPr>
        <w:t xml:space="preserve">This review audits the Electric Twin research agent prototype across three dimensions: code architecture, UX coherence, and design system consistency. The prototype has been built incrementally, and as expected, this has introduced duplication, inconsistencies, and structural debt that should be addressed before integrating the new Report Builder survey creation flow.</w:t>
      </w:r>
    </w:p>
    <w:p>
      <w:pPr>
        <w:spacing w:before="80" w:after="0"/>
      </w:pPr>
    </w:p>
    <w:p>
      <w:pPr>
        <w:spacing w:before="60" w:after="60"/>
      </w:pPr>
      <w:r>
        <w:rPr>
          <w:rFonts w:ascii="Arial" w:cs="Arial" w:eastAsia="Arial" w:hAnsi="Arial"/>
          <w:b w:val="false"/>
          <w:bCs w:val="false"/>
          <w:i w:val="false"/>
          <w:iCs w:val="false"/>
          <w:color w:val="333333"/>
          <w:sz w:val="20"/>
          <w:szCs w:val="20"/>
        </w:rPr>
        <w:t xml:space="preserve">The codebase consists of 73 source files totaling approximately 6,500 lines across 8 oversized components, with the worst offender (researchGenerator.ts) at 1,473 lines. The most impactful finding is that the three Method configuration components (MethodFullPage, MethodSheet, MethodSidePanel) contain approximately 500 lines of duplicated form-field rendering logic.</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Metric</w:t>
            </w:r>
          </w:p>
        </w:tc>
        <w:tc>
          <w:tcPr>
            <w:tcW w:type="dxa" w:w="312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Count</w:t>
            </w:r>
          </w:p>
        </w:tc>
        <w:tc>
          <w:tcPr>
            <w:tcW w:type="dxa" w:w="312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Impact</w:t>
            </w:r>
          </w:p>
        </w:tc>
      </w:tr>
      <w:tr>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Critical issues</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DC2626"/>
                <w:sz w:val="18"/>
                <w:szCs w:val="18"/>
              </w:rPr>
              <w:t xml:space="preserve">6</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Must fix before new feature work</w:t>
            </w:r>
          </w:p>
        </w:tc>
      </w:tr>
      <w:tr>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High issues</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EA580C"/>
                <w:sz w:val="18"/>
                <w:szCs w:val="18"/>
              </w:rPr>
              <w:t xml:space="preserve">12</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Should fix during refactor pass</w:t>
            </w:r>
          </w:p>
        </w:tc>
      </w:tr>
      <w:tr>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Medium issues</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CA8A04"/>
                <w:sz w:val="18"/>
                <w:szCs w:val="18"/>
              </w:rPr>
              <w:t xml:space="preserve">15</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Address incrementally</w:t>
            </w:r>
          </w:p>
        </w:tc>
      </w:tr>
      <w:tr>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Low issues</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2563EB"/>
                <w:sz w:val="18"/>
                <w:szCs w:val="18"/>
              </w:rPr>
              <w:t xml:space="preserve">8</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Nice-to-have improvements</w:t>
            </w:r>
          </w:p>
        </w:tc>
      </w:tr>
    </w:tbl>
    <w:p>
      <w:r>
        <w:br w:type="page"/>
      </w:r>
    </w:p>
    <w:p>
      <w:pPr>
        <w:pStyle w:val="Heading1"/>
      </w:pPr>
      <w:r>
        <w:rPr>
          <w:rFonts w:ascii="Arial" w:cs="Arial" w:eastAsia="Arial" w:hAnsi="Arial"/>
        </w:rPr>
        <w:t xml:space="preserve">1. Code Architecture &amp; Duplication</w:t>
      </w:r>
    </w:p>
    <w:p>
      <w:pPr>
        <w:pStyle w:val="Heading2"/>
      </w:pPr>
      <w:r>
        <w:rPr>
          <w:rFonts w:ascii="Arial" w:cs="Arial" w:eastAsia="Arial" w:hAnsi="Arial"/>
        </w:rPr>
        <w:t xml:space="preserve">1.1 Oversized Files</w:t>
      </w:r>
    </w:p>
    <w:p>
      <w:pPr>
        <w:spacing w:before="60" w:after="60"/>
      </w:pPr>
      <w:r>
        <w:rPr>
          <w:rFonts w:ascii="Arial" w:cs="Arial" w:eastAsia="Arial" w:hAnsi="Arial"/>
          <w:b w:val="false"/>
          <w:bCs w:val="false"/>
          <w:i w:val="false"/>
          <w:iCs w:val="false"/>
          <w:color w:val="333333"/>
          <w:sz w:val="20"/>
          <w:szCs w:val="20"/>
        </w:rPr>
        <w:t xml:space="preserve">Eight files exceed 600 lines, making them difficult to test, review, and extend. The following table ranks them by severity: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3460"/>
      </w:tblGrid>
      <w:tr>
        <w:tc>
          <w:tcPr>
            <w:tcW w:type="dxa" w:w="350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File</w:t>
            </w:r>
          </w:p>
        </w:tc>
        <w:tc>
          <w:tcPr>
            <w:tcW w:type="dxa" w:w="120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Lines</w:t>
            </w:r>
          </w:p>
        </w:tc>
        <w:tc>
          <w:tcPr>
            <w:tcW w:type="dxa" w:w="120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Severity</w:t>
            </w:r>
          </w:p>
        </w:tc>
        <w:tc>
          <w:tcPr>
            <w:tcW w:type="dxa" w:w="346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Recommendation</w:t>
            </w:r>
          </w:p>
        </w:tc>
      </w:tr>
      <w:tr>
        <w:tc>
          <w:tcPr>
            <w:tcW w:type="dxa" w:w="3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services/researchGenerator.ts</w:t>
            </w:r>
          </w:p>
        </w:tc>
        <w:tc>
          <w:tcPr>
            <w:tcW w:type="dxa" w:w="12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1,473</w:t>
            </w:r>
          </w:p>
        </w:tc>
        <w:tc>
          <w:tcPr>
            <w:tcW w:type="dxa" w:w="1200"/>
            <w:tcBorders>
              <w:top w:val="single" w:color="E5E7EB" w:sz="1"/>
              <w:left w:val="single" w:color="E5E7EB" w:sz="1"/>
              <w:bottom w:val="single" w:color="E5E7EB" w:sz="1"/>
              <w:right w:val="single" w:color="E5E7EB" w:sz="1"/>
            </w:tcBorders>
            <w:shd w:fill="FEF2F2" w:val="clear"/>
            <w:tcMar>
              <w:top w:type="dxa" w:w="60"/>
              <w:left w:type="dxa" w:w="120"/>
              <w:bottom w:type="dxa" w:w="60"/>
              <w:right w:type="dxa" w:w="120"/>
            </w:tcMar>
            <w:vAlign w:val="center"/>
          </w:tcPr>
          <w:p>
            <w:pPr>
              <w:spacing w:before="0" w:after="0"/>
            </w:pPr>
            <w:r>
              <w:rPr>
                <w:rFonts w:ascii="Arial" w:cs="Arial" w:eastAsia="Arial" w:hAnsi="Arial"/>
                <w:b/>
                <w:bCs/>
                <w:color w:val="DC2626"/>
                <w:sz w:val="18"/>
                <w:szCs w:val="18"/>
              </w:rPr>
              <w:t xml:space="preserve">Critical</w:t>
            </w:r>
          </w:p>
        </w:tc>
        <w:tc>
          <w:tcPr>
            <w:tcW w:type="dxa" w:w="34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Split into toolSelector, toolExecutor, canvasGenerator, fallbacks</w:t>
            </w:r>
          </w:p>
        </w:tc>
      </w:tr>
      <w:tr>
        <w:tc>
          <w:tcPr>
            <w:tcW w:type="dxa" w:w="3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components/MethodSheet.tsx</w:t>
            </w:r>
          </w:p>
        </w:tc>
        <w:tc>
          <w:tcPr>
            <w:tcW w:type="dxa" w:w="12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835</w:t>
            </w:r>
          </w:p>
        </w:tc>
        <w:tc>
          <w:tcPr>
            <w:tcW w:type="dxa" w:w="1200"/>
            <w:tcBorders>
              <w:top w:val="single" w:color="E5E7EB" w:sz="1"/>
              <w:left w:val="single" w:color="E5E7EB" w:sz="1"/>
              <w:bottom w:val="single" w:color="E5E7EB" w:sz="1"/>
              <w:right w:val="single" w:color="E5E7EB" w:sz="1"/>
            </w:tcBorders>
            <w:shd w:fill="FEF2F2" w:val="clear"/>
            <w:tcMar>
              <w:top w:type="dxa" w:w="60"/>
              <w:left w:type="dxa" w:w="120"/>
              <w:bottom w:type="dxa" w:w="60"/>
              <w:right w:type="dxa" w:w="120"/>
            </w:tcMar>
            <w:vAlign w:val="center"/>
          </w:tcPr>
          <w:p>
            <w:pPr>
              <w:spacing w:before="0" w:after="0"/>
            </w:pPr>
            <w:r>
              <w:rPr>
                <w:rFonts w:ascii="Arial" w:cs="Arial" w:eastAsia="Arial" w:hAnsi="Arial"/>
                <w:b/>
                <w:bCs/>
                <w:color w:val="DC2626"/>
                <w:sz w:val="18"/>
                <w:szCs w:val="18"/>
              </w:rPr>
              <w:t xml:space="preserve">Critical</w:t>
            </w:r>
          </w:p>
        </w:tc>
        <w:tc>
          <w:tcPr>
            <w:tcW w:type="dxa" w:w="34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Extract shared FormField component</w:t>
            </w:r>
          </w:p>
        </w:tc>
      </w:tr>
      <w:tr>
        <w:tc>
          <w:tcPr>
            <w:tcW w:type="dxa" w:w="3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components/MethodFullPage.tsx</w:t>
            </w:r>
          </w:p>
        </w:tc>
        <w:tc>
          <w:tcPr>
            <w:tcW w:type="dxa" w:w="12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805</w:t>
            </w:r>
          </w:p>
        </w:tc>
        <w:tc>
          <w:tcPr>
            <w:tcW w:type="dxa" w:w="1200"/>
            <w:tcBorders>
              <w:top w:val="single" w:color="E5E7EB" w:sz="1"/>
              <w:left w:val="single" w:color="E5E7EB" w:sz="1"/>
              <w:bottom w:val="single" w:color="E5E7EB" w:sz="1"/>
              <w:right w:val="single" w:color="E5E7EB" w:sz="1"/>
            </w:tcBorders>
            <w:shd w:fill="FEF2F2" w:val="clear"/>
            <w:tcMar>
              <w:top w:type="dxa" w:w="60"/>
              <w:left w:type="dxa" w:w="120"/>
              <w:bottom w:type="dxa" w:w="60"/>
              <w:right w:type="dxa" w:w="120"/>
            </w:tcMar>
            <w:vAlign w:val="center"/>
          </w:tcPr>
          <w:p>
            <w:pPr>
              <w:spacing w:before="0" w:after="0"/>
            </w:pPr>
            <w:r>
              <w:rPr>
                <w:rFonts w:ascii="Arial" w:cs="Arial" w:eastAsia="Arial" w:hAnsi="Arial"/>
                <w:b/>
                <w:bCs/>
                <w:color w:val="DC2626"/>
                <w:sz w:val="18"/>
                <w:szCs w:val="18"/>
              </w:rPr>
              <w:t xml:space="preserve">Critical</w:t>
            </w:r>
          </w:p>
        </w:tc>
        <w:tc>
          <w:tcPr>
            <w:tcW w:type="dxa" w:w="34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Extract shared FormField component</w:t>
            </w:r>
          </w:p>
        </w:tc>
      </w:tr>
      <w:tr>
        <w:tc>
          <w:tcPr>
            <w:tcW w:type="dxa" w:w="3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components/InlineCanvas.tsx</w:t>
            </w:r>
          </w:p>
        </w:tc>
        <w:tc>
          <w:tcPr>
            <w:tcW w:type="dxa" w:w="12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726</w:t>
            </w:r>
          </w:p>
        </w:tc>
        <w:tc>
          <w:tcPr>
            <w:tcW w:type="dxa" w:w="1200"/>
            <w:tcBorders>
              <w:top w:val="single" w:color="E5E7EB" w:sz="1"/>
              <w:left w:val="single" w:color="E5E7EB" w:sz="1"/>
              <w:bottom w:val="single" w:color="E5E7EB" w:sz="1"/>
              <w:right w:val="single" w:color="E5E7EB" w:sz="1"/>
            </w:tcBorders>
            <w:shd w:fill="FFF7ED" w:val="clear"/>
            <w:tcMar>
              <w:top w:type="dxa" w:w="60"/>
              <w:left w:type="dxa" w:w="120"/>
              <w:bottom w:type="dxa" w:w="60"/>
              <w:right w:type="dxa" w:w="120"/>
            </w:tcMar>
            <w:vAlign w:val="center"/>
          </w:tcPr>
          <w:p>
            <w:pPr>
              <w:spacing w:before="0" w:after="0"/>
            </w:pPr>
            <w:r>
              <w:rPr>
                <w:rFonts w:ascii="Arial" w:cs="Arial" w:eastAsia="Arial" w:hAnsi="Arial"/>
                <w:b/>
                <w:bCs/>
                <w:color w:val="EA580C"/>
                <w:sz w:val="18"/>
                <w:szCs w:val="18"/>
              </w:rPr>
              <w:t xml:space="preserve">High</w:t>
            </w:r>
          </w:p>
        </w:tc>
        <w:tc>
          <w:tcPr>
            <w:tcW w:type="dxa" w:w="34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Extract MiniQuestionCard and ThemeCard subcomponents</w:t>
            </w:r>
          </w:p>
        </w:tc>
      </w:tr>
      <w:tr>
        <w:tc>
          <w:tcPr>
            <w:tcW w:type="dxa" w:w="3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components/MethodSidePanel.tsx</w:t>
            </w:r>
          </w:p>
        </w:tc>
        <w:tc>
          <w:tcPr>
            <w:tcW w:type="dxa" w:w="12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686</w:t>
            </w:r>
          </w:p>
        </w:tc>
        <w:tc>
          <w:tcPr>
            <w:tcW w:type="dxa" w:w="1200"/>
            <w:tcBorders>
              <w:top w:val="single" w:color="E5E7EB" w:sz="1"/>
              <w:left w:val="single" w:color="E5E7EB" w:sz="1"/>
              <w:bottom w:val="single" w:color="E5E7EB" w:sz="1"/>
              <w:right w:val="single" w:color="E5E7EB" w:sz="1"/>
            </w:tcBorders>
            <w:shd w:fill="FEF2F2" w:val="clear"/>
            <w:tcMar>
              <w:top w:type="dxa" w:w="60"/>
              <w:left w:type="dxa" w:w="120"/>
              <w:bottom w:type="dxa" w:w="60"/>
              <w:right w:type="dxa" w:w="120"/>
            </w:tcMar>
            <w:vAlign w:val="center"/>
          </w:tcPr>
          <w:p>
            <w:pPr>
              <w:spacing w:before="0" w:after="0"/>
            </w:pPr>
            <w:r>
              <w:rPr>
                <w:rFonts w:ascii="Arial" w:cs="Arial" w:eastAsia="Arial" w:hAnsi="Arial"/>
                <w:b/>
                <w:bCs/>
                <w:color w:val="DC2626"/>
                <w:sz w:val="18"/>
                <w:szCs w:val="18"/>
              </w:rPr>
              <w:t xml:space="preserve">Critical</w:t>
            </w:r>
          </w:p>
        </w:tc>
        <w:tc>
          <w:tcPr>
            <w:tcW w:type="dxa" w:w="34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Uses same duplicated FormField logic</w:t>
            </w:r>
          </w:p>
        </w:tc>
      </w:tr>
      <w:tr>
        <w:tc>
          <w:tcPr>
            <w:tcW w:type="dxa" w:w="3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App.tsx</w:t>
            </w:r>
          </w:p>
        </w:tc>
        <w:tc>
          <w:tcPr>
            <w:tcW w:type="dxa" w:w="12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654</w:t>
            </w:r>
          </w:p>
        </w:tc>
        <w:tc>
          <w:tcPr>
            <w:tcW w:type="dxa" w:w="1200"/>
            <w:tcBorders>
              <w:top w:val="single" w:color="E5E7EB" w:sz="1"/>
              <w:left w:val="single" w:color="E5E7EB" w:sz="1"/>
              <w:bottom w:val="single" w:color="E5E7EB" w:sz="1"/>
              <w:right w:val="single" w:color="E5E7EB" w:sz="1"/>
            </w:tcBorders>
            <w:shd w:fill="FFF7ED" w:val="clear"/>
            <w:tcMar>
              <w:top w:type="dxa" w:w="60"/>
              <w:left w:type="dxa" w:w="120"/>
              <w:bottom w:type="dxa" w:w="60"/>
              <w:right w:type="dxa" w:w="120"/>
            </w:tcMar>
            <w:vAlign w:val="center"/>
          </w:tcPr>
          <w:p>
            <w:pPr>
              <w:spacing w:before="0" w:after="0"/>
            </w:pPr>
            <w:r>
              <w:rPr>
                <w:rFonts w:ascii="Arial" w:cs="Arial" w:eastAsia="Arial" w:hAnsi="Arial"/>
                <w:b/>
                <w:bCs/>
                <w:color w:val="EA580C"/>
                <w:sz w:val="18"/>
                <w:szCs w:val="18"/>
              </w:rPr>
              <w:t xml:space="preserve">High</w:t>
            </w:r>
          </w:p>
        </w:tc>
        <w:tc>
          <w:tcPr>
            <w:tcW w:type="dxa" w:w="34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Extract startSimulation into custom hook</w:t>
            </w:r>
          </w:p>
        </w:tc>
      </w:tr>
      <w:tr>
        <w:tc>
          <w:tcPr>
            <w:tcW w:type="dxa" w:w="3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components/QueryInput.tsx</w:t>
            </w:r>
          </w:p>
        </w:tc>
        <w:tc>
          <w:tcPr>
            <w:tcW w:type="dxa" w:w="12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650</w:t>
            </w:r>
          </w:p>
        </w:tc>
        <w:tc>
          <w:tcPr>
            <w:tcW w:type="dxa" w:w="1200"/>
            <w:tcBorders>
              <w:top w:val="single" w:color="E5E7EB" w:sz="1"/>
              <w:left w:val="single" w:color="E5E7EB" w:sz="1"/>
              <w:bottom w:val="single" w:color="E5E7EB" w:sz="1"/>
              <w:right w:val="single" w:color="E5E7EB" w:sz="1"/>
            </w:tcBorders>
            <w:shd w:fill="FFF7ED" w:val="clear"/>
            <w:tcMar>
              <w:top w:type="dxa" w:w="60"/>
              <w:left w:type="dxa" w:w="120"/>
              <w:bottom w:type="dxa" w:w="60"/>
              <w:right w:type="dxa" w:w="120"/>
            </w:tcMar>
            <w:vAlign w:val="center"/>
          </w:tcPr>
          <w:p>
            <w:pPr>
              <w:spacing w:before="0" w:after="0"/>
            </w:pPr>
            <w:r>
              <w:rPr>
                <w:rFonts w:ascii="Arial" w:cs="Arial" w:eastAsia="Arial" w:hAnsi="Arial"/>
                <w:b/>
                <w:bCs/>
                <w:color w:val="EA580C"/>
                <w:sz w:val="18"/>
                <w:szCs w:val="18"/>
              </w:rPr>
              <w:t xml:space="preserve">High</w:t>
            </w:r>
          </w:p>
        </w:tc>
        <w:tc>
          <w:tcPr>
            <w:tcW w:type="dxa" w:w="34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Extract AudiencePicker and MethodPicker</w:t>
            </w:r>
          </w:p>
        </w:tc>
      </w:tr>
      <w:tr>
        <w:tc>
          <w:tcPr>
            <w:tcW w:type="dxa" w:w="3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components/ExpandedCanvas.tsx</w:t>
            </w:r>
          </w:p>
        </w:tc>
        <w:tc>
          <w:tcPr>
            <w:tcW w:type="dxa" w:w="12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637</w:t>
            </w:r>
          </w:p>
        </w:tc>
        <w:tc>
          <w:tcPr>
            <w:tcW w:type="dxa" w:w="1200"/>
            <w:tcBorders>
              <w:top w:val="single" w:color="E5E7EB" w:sz="1"/>
              <w:left w:val="single" w:color="E5E7EB" w:sz="1"/>
              <w:bottom w:val="single" w:color="E5E7EB" w:sz="1"/>
              <w:right w:val="single" w:color="E5E7EB" w:sz="1"/>
            </w:tcBorders>
            <w:shd w:fill="FFF7ED" w:val="clear"/>
            <w:tcMar>
              <w:top w:type="dxa" w:w="60"/>
              <w:left w:type="dxa" w:w="120"/>
              <w:bottom w:type="dxa" w:w="60"/>
              <w:right w:type="dxa" w:w="120"/>
            </w:tcMar>
            <w:vAlign w:val="center"/>
          </w:tcPr>
          <w:p>
            <w:pPr>
              <w:spacing w:before="0" w:after="0"/>
            </w:pPr>
            <w:r>
              <w:rPr>
                <w:rFonts w:ascii="Arial" w:cs="Arial" w:eastAsia="Arial" w:hAnsi="Arial"/>
                <w:b/>
                <w:bCs/>
                <w:color w:val="EA580C"/>
                <w:sz w:val="18"/>
                <w:szCs w:val="18"/>
              </w:rPr>
              <w:t xml:space="preserve">High</w:t>
            </w:r>
          </w:p>
        </w:tc>
        <w:tc>
          <w:tcPr>
            <w:tcW w:type="dxa" w:w="34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Extract ThemeCard, simplify scroll tracking</w:t>
            </w:r>
          </w:p>
        </w:tc>
      </w:tr>
    </w:tbl>
    <w:p>
      <w:pPr>
        <w:spacing w:before="200" w:after="0"/>
      </w:pPr>
    </w:p>
    <w:p>
      <w:pPr>
        <w:pStyle w:val="Heading2"/>
      </w:pPr>
      <w:r>
        <w:rPr>
          <w:rFonts w:ascii="Arial" w:cs="Arial" w:eastAsia="Arial" w:hAnsi="Arial"/>
        </w:rPr>
        <w:t xml:space="preserve">1.2 Duplicated Code Clusters</w:t>
      </w:r>
    </w:p>
    <w:p>
      <w:pPr>
        <w:spacing w:before="60" w:after="60"/>
      </w:pPr>
      <w:r>
        <w:rPr>
          <w:rFonts w:ascii="Arial" w:cs="Arial" w:eastAsia="Arial" w:hAnsi="Arial"/>
          <w:b w:val="false"/>
          <w:bCs w:val="false"/>
          <w:i w:val="false"/>
          <w:iCs w:val="false"/>
          <w:color w:val="333333"/>
          <w:sz w:val="20"/>
          <w:szCs w:val="20"/>
        </w:rPr>
        <w:t xml:space="preserve">The following areas have the highest duplication density, listed in order of impact:</w:t>
      </w:r>
    </w:p>
    <w:p>
      <w:pPr>
        <w:spacing w:before="80" w:after="0"/>
      </w:pPr>
    </w:p>
    <w:p>
      <w:pPr>
        <w:pStyle w:val="Heading3"/>
      </w:pPr>
      <w:r>
        <w:rPr>
          <w:rFonts w:ascii="Arial" w:cs="Arial" w:eastAsia="Arial" w:hAnsi="Arial"/>
        </w:rPr>
        <w:t xml:space="preserve">Form Field Rendering (approx. 500 duplicated lines)</w:t>
      </w:r>
    </w:p>
    <w:p>
      <w:pPr>
        <w:spacing w:before="60" w:after="60"/>
      </w:pPr>
      <w:r>
        <w:rPr>
          <w:rFonts w:ascii="Arial" w:cs="Arial" w:eastAsia="Arial" w:hAnsi="Arial"/>
          <w:b w:val="false"/>
          <w:bCs w:val="false"/>
          <w:i w:val="false"/>
          <w:iCs w:val="false"/>
          <w:color w:val="333333"/>
          <w:sz w:val="20"/>
          <w:szCs w:val="20"/>
        </w:rPr>
        <w:t xml:space="preserve">MethodFullPage.tsx, MethodSheet.tsx, and MethodSidePanel.tsx each contain nearly identical form field rendering subcomponents (FullPageFormField, FormField, SidePanelFormField). These include duplicated audience selector popovers, multi-select handling, radio/checkbox rendering, image upload logic, and question/message list rendering. The only differences are minor spacing and sizing values.</w:t>
      </w:r>
    </w:p>
    <w:p>
      <w:pPr>
        <w:spacing w:before="40" w:after="0"/>
      </w:pPr>
    </w:p>
    <w:p>
      <w:pPr>
        <w:spacing w:before="60" w:after="60"/>
      </w:pPr>
      <w:r>
        <w:rPr>
          <w:rFonts w:ascii="Arial" w:cs="Arial" w:eastAsia="Arial" w:hAnsi="Arial"/>
          <w:b/>
          <w:bCs/>
          <w:i w:val="false"/>
          <w:iCs w:val="false"/>
          <w:color w:val="333333"/>
          <w:sz w:val="20"/>
          <w:szCs w:val="20"/>
        </w:rPr>
        <w:t xml:space="preserve">Recommendation: </w:t>
      </w:r>
      <w:r>
        <w:rPr>
          <w:rFonts w:ascii="Arial" w:cs="Arial" w:eastAsia="Arial" w:hAnsi="Arial"/>
          <w:b w:val="false"/>
          <w:bCs w:val="false"/>
          <w:i w:val="false"/>
          <w:iCs w:val="false"/>
          <w:color w:val="333333"/>
          <w:sz w:val="20"/>
          <w:szCs w:val="20"/>
        </w:rPr>
        <w:t xml:space="preserve">Create a single </w:t>
      </w:r>
      <w:r>
        <w:rPr>
          <w:rFonts w:ascii="Courier New" w:cs="Courier New" w:eastAsia="Courier New" w:hAnsi="Courier New"/>
          <w:b/>
          <w:bCs/>
          <w:i w:val="false"/>
          <w:iCs w:val="false"/>
          <w:color w:val="333333"/>
          <w:sz w:val="20"/>
          <w:szCs w:val="20"/>
        </w:rPr>
        <w:t xml:space="preserve">MethodFormField</w:t>
      </w:r>
      <w:r>
        <w:rPr>
          <w:rFonts w:ascii="Arial" w:cs="Arial" w:eastAsia="Arial" w:hAnsi="Arial"/>
          <w:b w:val="false"/>
          <w:bCs w:val="false"/>
          <w:i w:val="false"/>
          <w:iCs w:val="false"/>
          <w:color w:val="333333"/>
          <w:sz w:val="20"/>
          <w:szCs w:val="20"/>
        </w:rPr>
        <w:t xml:space="preserve"> component that accepts a </w:t>
      </w:r>
      <w:r>
        <w:rPr>
          <w:rFonts w:ascii="Courier New" w:cs="Courier New" w:eastAsia="Courier New" w:hAnsi="Courier New"/>
          <w:b w:val="false"/>
          <w:bCs w:val="false"/>
          <w:i w:val="false"/>
          <w:iCs w:val="false"/>
          <w:color w:val="333333"/>
          <w:sz w:val="20"/>
          <w:szCs w:val="20"/>
        </w:rPr>
        <w:t xml:space="preserve">variant</w:t>
      </w:r>
      <w:r>
        <w:rPr>
          <w:rFonts w:ascii="Arial" w:cs="Arial" w:eastAsia="Arial" w:hAnsi="Arial"/>
          <w:b w:val="false"/>
          <w:bCs w:val="false"/>
          <w:i w:val="false"/>
          <w:iCs w:val="false"/>
          <w:color w:val="333333"/>
          <w:sz w:val="20"/>
          <w:szCs w:val="20"/>
        </w:rPr>
        <w:t xml:space="preserve"> prop ("fullpage" | "sheet" | "sidepanel") to control sizing. This would eliminate roughly 500 lines.</w:t>
      </w:r>
    </w:p>
    <w:p>
      <w:pPr>
        <w:spacing w:before="120" w:after="0"/>
      </w:pPr>
    </w:p>
    <w:p>
      <w:pPr>
        <w:pStyle w:val="Heading3"/>
      </w:pPr>
      <w:r>
        <w:rPr>
          <w:rFonts w:ascii="Arial" w:cs="Arial" w:eastAsia="Arial" w:hAnsi="Arial"/>
        </w:rPr>
        <w:t xml:space="preserve">Icon Mapping (5 copies)</w:t>
      </w:r>
    </w:p>
    <w:p>
      <w:pPr>
        <w:spacing w:before="60" w:after="60"/>
      </w:pPr>
      <w:r>
        <w:rPr>
          <w:rFonts w:ascii="Arial" w:cs="Arial" w:eastAsia="Arial" w:hAnsi="Arial"/>
          <w:b w:val="false"/>
          <w:bCs w:val="false"/>
          <w:i w:val="false"/>
          <w:iCs w:val="false"/>
          <w:color w:val="333333"/>
          <w:sz w:val="20"/>
          <w:szCs w:val="20"/>
        </w:rPr>
        <w:t xml:space="preserve">The method-to-icon mapping object is copy-pasted across 5 files: MethodFullPage.tsx, MethodSheet.tsx, MethodSidePanel.tsx, WorkingPane.tsx, and StudyPlanPill.tsx. Each defines the same mapping from method IDs to Lucide icons.</w:t>
      </w:r>
    </w:p>
    <w:p>
      <w:pPr>
        <w:spacing w:before="40" w:after="0"/>
      </w:pPr>
    </w:p>
    <w:p>
      <w:pPr>
        <w:spacing w:before="60" w:after="60"/>
      </w:pPr>
      <w:r>
        <w:rPr>
          <w:rFonts w:ascii="Arial" w:cs="Arial" w:eastAsia="Arial" w:hAnsi="Arial"/>
          <w:b/>
          <w:bCs/>
          <w:i w:val="false"/>
          <w:iCs w:val="false"/>
          <w:color w:val="333333"/>
          <w:sz w:val="20"/>
          <w:szCs w:val="20"/>
        </w:rPr>
        <w:t xml:space="preserve">Recommendation: </w:t>
      </w:r>
      <w:r>
        <w:rPr>
          <w:rFonts w:ascii="Arial" w:cs="Arial" w:eastAsia="Arial" w:hAnsi="Arial"/>
          <w:b w:val="false"/>
          <w:bCs w:val="false"/>
          <w:i w:val="false"/>
          <w:iCs w:val="false"/>
          <w:color w:val="333333"/>
          <w:sz w:val="20"/>
          <w:szCs w:val="20"/>
        </w:rPr>
        <w:t xml:space="preserve">Create a shared </w:t>
      </w:r>
      <w:r>
        <w:rPr>
          <w:rFonts w:ascii="Courier New" w:cs="Courier New" w:eastAsia="Courier New" w:hAnsi="Courier New"/>
          <w:b/>
          <w:bCs/>
          <w:i w:val="false"/>
          <w:iCs w:val="false"/>
          <w:color w:val="333333"/>
          <w:sz w:val="20"/>
          <w:szCs w:val="20"/>
        </w:rPr>
        <w:t xml:space="preserve">lib/methodIcons.ts</w:t>
      </w:r>
      <w:r>
        <w:rPr>
          <w:rFonts w:ascii="Arial" w:cs="Arial" w:eastAsia="Arial" w:hAnsi="Arial"/>
          <w:b w:val="false"/>
          <w:bCs w:val="false"/>
          <w:i w:val="false"/>
          <w:iCs w:val="false"/>
          <w:color w:val="333333"/>
          <w:sz w:val="20"/>
          <w:szCs w:val="20"/>
        </w:rPr>
        <w:t xml:space="preserve"> utility and import it everywhere.</w:t>
      </w:r>
    </w:p>
    <w:p>
      <w:pPr>
        <w:spacing w:before="120" w:after="0"/>
      </w:pPr>
    </w:p>
    <w:p>
      <w:pPr>
        <w:pStyle w:val="Heading3"/>
      </w:pPr>
      <w:r>
        <w:rPr>
          <w:rFonts w:ascii="Arial" w:cs="Arial" w:eastAsia="Arial" w:hAnsi="Arial"/>
        </w:rPr>
        <w:t xml:space="preserve">Sentiment Color Mapping (2 copies)</w:t>
      </w:r>
    </w:p>
    <w:p>
      <w:pPr>
        <w:spacing w:before="60" w:after="60"/>
      </w:pPr>
      <w:r>
        <w:rPr>
          <w:rFonts w:ascii="Arial" w:cs="Arial" w:eastAsia="Arial" w:hAnsi="Arial"/>
          <w:b w:val="false"/>
          <w:bCs w:val="false"/>
          <w:i w:val="false"/>
          <w:iCs w:val="false"/>
          <w:color w:val="333333"/>
          <w:sz w:val="20"/>
          <w:szCs w:val="20"/>
        </w:rPr>
        <w:t xml:space="preserve">ExpandedCanvas.tsx and InlineCanvas.tsx both define identical sentiment-to-color mapping objects. Brand color defaults are also duplicated between InlineCanvas.tsx and QuestionCard.tsx.</w:t>
      </w:r>
    </w:p>
    <w:p>
      <w:pPr>
        <w:spacing w:before="120" w:after="0"/>
      </w:pPr>
    </w:p>
    <w:p>
      <w:pPr>
        <w:pStyle w:val="Heading3"/>
      </w:pPr>
      <w:r>
        <w:rPr>
          <w:rFonts w:ascii="Arial" w:cs="Arial" w:eastAsia="Arial" w:hAnsi="Arial"/>
        </w:rPr>
        <w:t xml:space="preserve">Planning Step Arrays in App.tsx</w:t>
      </w:r>
    </w:p>
    <w:p>
      <w:pPr>
        <w:spacing w:before="60" w:after="60"/>
      </w:pPr>
      <w:r>
        <w:rPr>
          <w:rFonts w:ascii="Arial" w:cs="Arial" w:eastAsia="Arial" w:hAnsi="Arial"/>
          <w:b w:val="false"/>
          <w:bCs w:val="false"/>
          <w:i w:val="false"/>
          <w:iCs w:val="false"/>
          <w:color w:val="333333"/>
          <w:sz w:val="20"/>
          <w:szCs w:val="20"/>
        </w:rPr>
        <w:t xml:space="preserve">App.tsx defines three nearly identical planning step arrays that only differ in status values. The 233-line startSimulation function contains these along with duplicated setConversation() mapping patterns repeated 5+ times.</w:t>
      </w:r>
    </w:p>
    <w:p>
      <w:pPr>
        <w:spacing w:before="40" w:after="0"/>
      </w:pPr>
    </w:p>
    <w:p>
      <w:pPr>
        <w:spacing w:before="60" w:after="60"/>
      </w:pPr>
      <w:r>
        <w:rPr>
          <w:rFonts w:ascii="Arial" w:cs="Arial" w:eastAsia="Arial" w:hAnsi="Arial"/>
          <w:b/>
          <w:bCs/>
          <w:i w:val="false"/>
          <w:iCs w:val="false"/>
          <w:color w:val="333333"/>
          <w:sz w:val="20"/>
          <w:szCs w:val="20"/>
        </w:rPr>
        <w:t xml:space="preserve">Recommendation: </w:t>
      </w:r>
      <w:r>
        <w:rPr>
          <w:rFonts w:ascii="Arial" w:cs="Arial" w:eastAsia="Arial" w:hAnsi="Arial"/>
          <w:b w:val="false"/>
          <w:bCs w:val="false"/>
          <w:i w:val="false"/>
          <w:iCs w:val="false"/>
          <w:color w:val="333333"/>
          <w:sz w:val="20"/>
          <w:szCs w:val="20"/>
        </w:rPr>
        <w:t xml:space="preserve">Extract a </w:t>
      </w:r>
      <w:r>
        <w:rPr>
          <w:rFonts w:ascii="Courier New" w:cs="Courier New" w:eastAsia="Courier New" w:hAnsi="Courier New"/>
          <w:b w:val="false"/>
          <w:bCs w:val="false"/>
          <w:i w:val="false"/>
          <w:iCs w:val="false"/>
          <w:color w:val="333333"/>
          <w:sz w:val="20"/>
          <w:szCs w:val="20"/>
        </w:rPr>
        <w:t xml:space="preserve">useSimulation</w:t>
      </w:r>
      <w:r>
        <w:rPr>
          <w:rFonts w:ascii="Arial" w:cs="Arial" w:eastAsia="Arial" w:hAnsi="Arial"/>
          <w:b w:val="false"/>
          <w:bCs w:val="false"/>
          <w:i w:val="false"/>
          <w:iCs w:val="false"/>
          <w:color w:val="333333"/>
          <w:sz w:val="20"/>
          <w:szCs w:val="20"/>
        </w:rPr>
        <w:t xml:space="preserve"> custom hook with utility functions for step progression, and a </w:t>
      </w:r>
      <w:r>
        <w:rPr>
          <w:rFonts w:ascii="Courier New" w:cs="Courier New" w:eastAsia="Courier New" w:hAnsi="Courier New"/>
          <w:b w:val="false"/>
          <w:bCs w:val="false"/>
          <w:i w:val="false"/>
          <w:iCs w:val="false"/>
          <w:color w:val="333333"/>
          <w:sz w:val="20"/>
          <w:szCs w:val="20"/>
        </w:rPr>
        <w:t xml:space="preserve">updateMessageSteps()</w:t>
      </w:r>
      <w:r>
        <w:rPr>
          <w:rFonts w:ascii="Arial" w:cs="Arial" w:eastAsia="Arial" w:hAnsi="Arial"/>
          <w:b w:val="false"/>
          <w:bCs w:val="false"/>
          <w:i w:val="false"/>
          <w:iCs w:val="false"/>
          <w:color w:val="333333"/>
          <w:sz w:val="20"/>
          <w:szCs w:val="20"/>
        </w:rPr>
        <w:t xml:space="preserve"> helper to replace the repeated mapping pattern.</w:t>
      </w:r>
    </w:p>
    <w:p>
      <w:pPr>
        <w:spacing w:before="120" w:after="0"/>
      </w:pPr>
    </w:p>
    <w:p>
      <w:pPr>
        <w:pStyle w:val="Heading3"/>
      </w:pPr>
      <w:r>
        <w:rPr>
          <w:rFonts w:ascii="Arial" w:cs="Arial" w:eastAsia="Arial" w:hAnsi="Arial"/>
        </w:rPr>
        <w:t xml:space="preserve">Research Tool Execution (services)</w:t>
      </w:r>
    </w:p>
    <w:p>
      <w:pPr>
        <w:spacing w:before="60" w:after="60"/>
      </w:pPr>
      <w:r>
        <w:rPr>
          <w:rFonts w:ascii="Arial" w:cs="Arial" w:eastAsia="Arial" w:hAnsi="Arial"/>
          <w:b w:val="false"/>
          <w:bCs w:val="false"/>
          <w:i w:val="false"/>
          <w:iCs w:val="false"/>
          <w:color w:val="333333"/>
          <w:sz w:val="20"/>
          <w:szCs w:val="20"/>
        </w:rPr>
        <w:t xml:space="preserve">executeSurveyTool(), executeFocusGroupTool(), and executeComparisonTool() in researchGenerator.ts all follow the identical pattern: build prompt, call API, parse response, create canvas. The two fallback canvas generators are also near-duplicates.</w:t>
      </w:r>
    </w:p>
    <w:p>
      <w:pPr>
        <w:spacing w:before="40" w:after="0"/>
      </w:pPr>
    </w:p>
    <w:p>
      <w:pPr>
        <w:spacing w:before="60" w:after="60"/>
      </w:pPr>
      <w:r>
        <w:rPr>
          <w:rFonts w:ascii="Arial" w:cs="Arial" w:eastAsia="Arial" w:hAnsi="Arial"/>
          <w:b/>
          <w:bCs/>
          <w:i w:val="false"/>
          <w:iCs w:val="false"/>
          <w:color w:val="333333"/>
          <w:sz w:val="20"/>
          <w:szCs w:val="20"/>
        </w:rPr>
        <w:t xml:space="preserve">Recommendation: </w:t>
      </w:r>
      <w:r>
        <w:rPr>
          <w:rFonts w:ascii="Arial" w:cs="Arial" w:eastAsia="Arial" w:hAnsi="Arial"/>
          <w:b w:val="false"/>
          <w:bCs w:val="false"/>
          <w:i w:val="false"/>
          <w:iCs w:val="false"/>
          <w:color w:val="333333"/>
          <w:sz w:val="20"/>
          <w:szCs w:val="20"/>
        </w:rPr>
        <w:t xml:space="preserve">Create a generic </w:t>
      </w:r>
      <w:r>
        <w:rPr>
          <w:rFonts w:ascii="Courier New" w:cs="Courier New" w:eastAsia="Courier New" w:hAnsi="Courier New"/>
          <w:b w:val="false"/>
          <w:bCs w:val="false"/>
          <w:i w:val="false"/>
          <w:iCs w:val="false"/>
          <w:color w:val="333333"/>
          <w:sz w:val="20"/>
          <w:szCs w:val="20"/>
        </w:rPr>
        <w:t xml:space="preserve">executeResearchTool&lt;T&gt;(config)</w:t>
      </w:r>
      <w:r>
        <w:rPr>
          <w:rFonts w:ascii="Arial" w:cs="Arial" w:eastAsia="Arial" w:hAnsi="Arial"/>
          <w:b w:val="false"/>
          <w:bCs w:val="false"/>
          <w:i w:val="false"/>
          <w:iCs w:val="false"/>
          <w:color w:val="333333"/>
          <w:sz w:val="20"/>
          <w:szCs w:val="20"/>
        </w:rPr>
        <w:t xml:space="preserve"> function and define tool-specific configs.</w:t>
      </w:r>
    </w:p>
    <w:p>
      <w:r>
        <w:br w:type="page"/>
      </w:r>
    </w:p>
    <w:p>
      <w:pPr>
        <w:pStyle w:val="Heading2"/>
      </w:pPr>
      <w:r>
        <w:rPr>
          <w:rFonts w:ascii="Arial" w:cs="Arial" w:eastAsia="Arial" w:hAnsi="Arial"/>
        </w:rPr>
        <w:t xml:space="preserve">1.3 Architecture Issues</w:t>
      </w:r>
    </w:p>
    <w:p>
      <w:pPr>
        <w:pStyle w:val="Heading3"/>
      </w:pPr>
      <w:r>
        <w:rPr>
          <w:rFonts w:ascii="Arial" w:cs="Arial" w:eastAsia="Arial" w:hAnsi="Arial"/>
        </w:rPr>
        <w:t xml:space="preserve">Mega-file: researchGenerator.ts (1,473 lines)</w:t>
      </w:r>
    </w:p>
    <w:p>
      <w:pPr>
        <w:spacing w:before="60" w:after="60"/>
      </w:pPr>
      <w:r>
        <w:rPr>
          <w:rFonts w:ascii="Arial" w:cs="Arial" w:eastAsia="Arial" w:hAnsi="Arial"/>
          <w:b w:val="false"/>
          <w:bCs w:val="false"/>
          <w:i w:val="false"/>
          <w:iCs w:val="false"/>
          <w:color w:val="333333"/>
          <w:sz w:val="20"/>
          <w:szCs w:val="20"/>
        </w:rPr>
        <w:t xml:space="preserve">This single file handles tool selection, tool execution, canvas generation, fallback logic, study plan creation, normalization functions, and legacy API support. It should be split into at least 4 focused modules:</w:t>
      </w:r>
    </w:p>
    <w:p>
      <w:pPr>
        <w:pStyle w:val="ListParagraph"/>
        <w:numPr>
          <w:ilvl w:val="0"/>
          <w:numId w:val="2"/>
        </w:numPr>
        <w:spacing w:before="40" w:after="40"/>
      </w:pPr>
      <w:r>
        <w:rPr>
          <w:rFonts w:ascii="Arial" w:cs="Arial" w:eastAsia="Arial" w:hAnsi="Arial"/>
          <w:color w:val="333333"/>
          <w:sz w:val="20"/>
          <w:szCs w:val="20"/>
        </w:rPr>
        <w:t xml:space="preserve">toolSelector.ts – tool selection and method mapping logic</w:t>
      </w:r>
    </w:p>
    <w:p>
      <w:pPr>
        <w:pStyle w:val="ListParagraph"/>
        <w:numPr>
          <w:ilvl w:val="0"/>
          <w:numId w:val="2"/>
        </w:numPr>
        <w:spacing w:before="40" w:after="40"/>
      </w:pPr>
      <w:r>
        <w:rPr>
          <w:rFonts w:ascii="Arial" w:cs="Arial" w:eastAsia="Arial" w:hAnsi="Arial"/>
          <w:color w:val="333333"/>
          <w:sz w:val="20"/>
          <w:szCs w:val="20"/>
        </w:rPr>
        <w:t xml:space="preserve">toolExecutor.ts – API calls and response parsing</w:t>
      </w:r>
    </w:p>
    <w:p>
      <w:pPr>
        <w:pStyle w:val="ListParagraph"/>
        <w:numPr>
          <w:ilvl w:val="0"/>
          <w:numId w:val="2"/>
        </w:numPr>
        <w:spacing w:before="40" w:after="40"/>
      </w:pPr>
      <w:r>
        <w:rPr>
          <w:rFonts w:ascii="Arial" w:cs="Arial" w:eastAsia="Arial" w:hAnsi="Arial"/>
          <w:color w:val="333333"/>
          <w:sz w:val="20"/>
          <w:szCs w:val="20"/>
        </w:rPr>
        <w:t xml:space="preserve">canvasGenerator.ts – canvas construction from parsed results</w:t>
      </w:r>
    </w:p>
    <w:p>
      <w:pPr>
        <w:pStyle w:val="ListParagraph"/>
        <w:numPr>
          <w:ilvl w:val="0"/>
          <w:numId w:val="2"/>
        </w:numPr>
        <w:spacing w:before="40" w:after="40"/>
      </w:pPr>
      <w:r>
        <w:rPr>
          <w:rFonts w:ascii="Arial" w:cs="Arial" w:eastAsia="Arial" w:hAnsi="Arial"/>
          <w:color w:val="333333"/>
          <w:sz w:val="20"/>
          <w:szCs w:val="20"/>
        </w:rPr>
        <w:t xml:space="preserve">fallbacks.ts – fallback/mock canvas generation</w:t>
      </w:r>
    </w:p>
    <w:p>
      <w:pPr>
        <w:spacing w:before="120" w:after="0"/>
      </w:pPr>
    </w:p>
    <w:p>
      <w:pPr>
        <w:pStyle w:val="Heading3"/>
      </w:pPr>
      <w:r>
        <w:rPr>
          <w:rFonts w:ascii="Arial" w:cs="Arial" w:eastAsia="Arial" w:hAnsi="Arial"/>
        </w:rPr>
        <w:t xml:space="preserve">Type Inconsistencies</w:t>
      </w:r>
    </w:p>
    <w:p>
      <w:pPr>
        <w:spacing w:before="60" w:after="60"/>
      </w:pPr>
      <w:r>
        <w:rPr>
          <w:rFonts w:ascii="Arial" w:cs="Arial" w:eastAsia="Arial" w:hAnsi="Arial"/>
          <w:b w:val="false"/>
          <w:bCs w:val="false"/>
          <w:i w:val="false"/>
          <w:iCs w:val="false"/>
          <w:color w:val="333333"/>
          <w:sz w:val="20"/>
          <w:szCs w:val="20"/>
        </w:rPr>
        <w:t xml:space="preserve">The types/ directory and data/mockData.ts define competing Audience interfaces. types/audience.ts has icon as optional while mockData.ts requires it. The Canvas type has an optional "type" field that is always set in practice, and the Report type alias (type Report = Canvas) is legacy naming that should be removed.</w:t>
      </w:r>
    </w:p>
    <w:p>
      <w:pPr>
        <w:spacing w:before="40" w:after="0"/>
      </w:pPr>
    </w:p>
    <w:p>
      <w:pPr>
        <w:spacing w:before="60" w:after="60"/>
      </w:pPr>
      <w:r>
        <w:rPr>
          <w:rFonts w:ascii="Arial" w:cs="Arial" w:eastAsia="Arial" w:hAnsi="Arial"/>
          <w:b w:val="false"/>
          <w:bCs w:val="false"/>
          <w:i w:val="false"/>
          <w:iCs w:val="false"/>
          <w:color w:val="333333"/>
          <w:sz w:val="20"/>
          <w:szCs w:val="20"/>
        </w:rPr>
        <w:t xml:space="preserve">The agentResponse.ts file defines CanvasType with heatmap/sentiment/comparison variants that are never actually created – only "quantitative" and "qualitative" are generated. StudyPlan is optional on Canvas but inconsistently populated across code paths.</w:t>
      </w:r>
    </w:p>
    <w:p>
      <w:pPr>
        <w:spacing w:before="120" w:after="0"/>
      </w:pPr>
    </w:p>
    <w:p>
      <w:pPr>
        <w:pStyle w:val="Heading3"/>
      </w:pPr>
      <w:r>
        <w:rPr>
          <w:rFonts w:ascii="Arial" w:cs="Arial" w:eastAsia="Arial" w:hAnsi="Arial"/>
        </w:rPr>
        <w:t xml:space="preserve">State Management Duplication in Hooks</w:t>
      </w:r>
    </w:p>
    <w:p>
      <w:pPr>
        <w:spacing w:before="60" w:after="60"/>
      </w:pPr>
      <w:r>
        <w:rPr>
          <w:rFonts w:ascii="Arial" w:cs="Arial" w:eastAsia="Arial" w:hAnsi="Arial"/>
          <w:b w:val="false"/>
          <w:bCs w:val="false"/>
          <w:i w:val="false"/>
          <w:iCs w:val="false"/>
          <w:color w:val="333333"/>
          <w:sz w:val="20"/>
          <w:szCs w:val="20"/>
        </w:rPr>
        <w:t xml:space="preserve">useAudiences.ts and useHistory.ts implement nearly identical add/update/remove patterns. useConversation.ts manages 12+ action callbacks that follow the same structure. These could share a generic useEntityManager&lt;T&gt; hook.</w:t>
      </w:r>
    </w:p>
    <w:p>
      <w:pPr>
        <w:spacing w:before="120" w:after="0"/>
      </w:pPr>
    </w:p>
    <w:p>
      <w:pPr>
        <w:pStyle w:val="Heading3"/>
      </w:pPr>
      <w:r>
        <w:rPr>
          <w:rFonts w:ascii="Arial" w:cs="Arial" w:eastAsia="Arial" w:hAnsi="Arial"/>
        </w:rPr>
        <w:t xml:space="preserve">Naming Inconsistencies</w:t>
      </w:r>
    </w:p>
    <w:p>
      <w:pPr>
        <w:spacing w:before="60" w:after="60"/>
      </w:pPr>
      <w:r>
        <w:rPr>
          <w:rFonts w:ascii="Arial" w:cs="Arial" w:eastAsia="Arial" w:hAnsi="Arial"/>
          <w:b w:val="false"/>
          <w:bCs w:val="false"/>
          <w:i w:val="false"/>
          <w:iCs w:val="false"/>
          <w:color w:val="333333"/>
          <w:sz w:val="20"/>
          <w:szCs w:val="20"/>
        </w:rPr>
        <w:t xml:space="preserve">The codebase has several naming conflicts: "segments" vs "breakdowns" for the same concept, "Report" vs "Canvas" type aliases, "respondents" vs "sample_size" across API/internal boundaries, and tool names using snake_case (run_survey) while functions use camelCase (executeSurveyTool). Console logs inconsistently reference "Merlin Agent" vs "Agent".</w:t>
      </w:r>
    </w:p>
    <w:p>
      <w:pPr>
        <w:spacing w:before="120" w:after="0"/>
      </w:pPr>
    </w:p>
    <w:p>
      <w:pPr>
        <w:pStyle w:val="Heading3"/>
      </w:pPr>
      <w:r>
        <w:rPr>
          <w:rFonts w:ascii="Arial" w:cs="Arial" w:eastAsia="Arial" w:hAnsi="Arial"/>
        </w:rPr>
        <w:t xml:space="preserve">Hardcoded Values</w:t>
      </w:r>
    </w:p>
    <w:p>
      <w:pPr>
        <w:spacing w:before="60" w:after="60"/>
      </w:pPr>
      <w:r>
        <w:rPr>
          <w:rFonts w:ascii="Arial" w:cs="Arial" w:eastAsia="Arial" w:hAnsi="Arial"/>
          <w:b w:val="false"/>
          <w:bCs w:val="false"/>
          <w:i w:val="false"/>
          <w:iCs w:val="false"/>
          <w:color w:val="333333"/>
          <w:sz w:val="20"/>
          <w:szCs w:val="20"/>
        </w:rPr>
        <w:t xml:space="preserve">Timing delays (600ms, 400ms, 800ms) are scattered through App.tsx without constants. The Claude model string "claude-3-haiku-20240307" appears in 5 places. Message IDs use Date.now() which risks collisions. The config.ts file contains a single boolean flag when it should centralize all these values.</w:t>
      </w:r>
    </w:p>
    <w:p>
      <w:r>
        <w:br w:type="page"/>
      </w:r>
    </w:p>
    <w:p>
      <w:pPr>
        <w:pStyle w:val="Heading1"/>
      </w:pPr>
      <w:r>
        <w:rPr>
          <w:rFonts w:ascii="Arial" w:cs="Arial" w:eastAsia="Arial" w:hAnsi="Arial"/>
        </w:rPr>
        <w:t xml:space="preserve">2. UX Inconsistencies</w:t>
      </w:r>
    </w:p>
    <w:p>
      <w:pPr>
        <w:pStyle w:val="Heading2"/>
      </w:pPr>
      <w:r>
        <w:rPr>
          <w:rFonts w:ascii="Arial" w:cs="Arial" w:eastAsia="Arial" w:hAnsi="Arial"/>
        </w:rPr>
        <w:t xml:space="preserve">2.1 Form Validation Feedback</w:t>
      </w:r>
    </w:p>
    <w:p>
      <w:pPr>
        <w:spacing w:before="80" w:after="60"/>
      </w:pPr>
      <w:r>
        <w:rPr>
          <w:rFonts w:ascii="Arial" w:cs="Arial" w:eastAsia="Arial" w:hAnsi="Arial"/>
          <w:b w:val="false"/>
          <w:bCs w:val="false"/>
          <w:i w:val="false"/>
          <w:iCs w:val="false"/>
          <w:color w:val="333333"/>
          <w:sz w:val="20"/>
          <w:szCs w:val="20"/>
        </w:rPr>
        <w:t xml:space="preserve">MethodFullPage and MethodSheet perform validation but only disable the submit button without explaining why. Users receive no inline error messages, no field-level highlighting, and no indication of which required fields are missing. This is the most impactful UX issue in the current prototype.</w:t>
      </w:r>
    </w:p>
    <w:p>
      <w:pPr>
        <w:spacing w:before="40" w:after="0"/>
      </w:pPr>
    </w:p>
    <w:p>
      <w:pPr>
        <w:spacing w:before="60" w:after="60"/>
      </w:pPr>
      <w:r>
        <w:rPr>
          <w:rFonts w:ascii="Arial" w:cs="Arial" w:eastAsia="Arial" w:hAnsi="Arial"/>
          <w:b/>
          <w:bCs/>
          <w:i w:val="false"/>
          <w:iCs w:val="false"/>
          <w:color w:val="333333"/>
          <w:sz w:val="20"/>
          <w:szCs w:val="20"/>
        </w:rPr>
        <w:t xml:space="preserve">Recommendation: </w:t>
      </w:r>
      <w:r>
        <w:rPr>
          <w:rFonts w:ascii="Arial" w:cs="Arial" w:eastAsia="Arial" w:hAnsi="Arial"/>
          <w:b w:val="false"/>
          <w:bCs w:val="false"/>
          <w:i w:val="false"/>
          <w:iCs w:val="false"/>
          <w:color w:val="333333"/>
          <w:sz w:val="20"/>
          <w:szCs w:val="20"/>
        </w:rPr>
        <w:t xml:space="preserve">Add field-level validation states with inline error messages. Show a summary of missing fields when the user attempts to submit.</w:t>
      </w:r>
    </w:p>
    <w:p>
      <w:pPr>
        <w:spacing w:before="160" w:after="0"/>
      </w:pPr>
    </w:p>
    <w:p>
      <w:pPr>
        <w:pStyle w:val="Heading2"/>
      </w:pPr>
      <w:r>
        <w:rPr>
          <w:rFonts w:ascii="Arial" w:cs="Arial" w:eastAsia="Arial" w:hAnsi="Arial"/>
        </w:rPr>
        <w:t xml:space="preserve">2.2 Clarification Suggestions Are Not Interactive</w:t>
      </w:r>
    </w:p>
    <w:p>
      <w:pPr>
        <w:spacing w:before="60" w:after="60"/>
      </w:pPr>
      <w:r>
        <w:rPr>
          <w:rFonts w:ascii="Arial" w:cs="Arial" w:eastAsia="Arial" w:hAnsi="Arial"/>
          <w:b w:val="false"/>
          <w:bCs w:val="false"/>
          <w:i w:val="false"/>
          <w:iCs w:val="false"/>
          <w:color w:val="333333"/>
          <w:sz w:val="20"/>
          <w:szCs w:val="20"/>
        </w:rPr>
        <w:t xml:space="preserve">ClarificationMessage.tsx renders suggestion chips that appear clickable (styled as pills) but have no click handlers. Users likely try to click these and nothing happens, which is confusing and breaks the conversational flow.</w:t>
      </w:r>
    </w:p>
    <w:p>
      <w:pPr>
        <w:spacing w:before="160" w:after="0"/>
      </w:pPr>
    </w:p>
    <w:p>
      <w:pPr>
        <w:pStyle w:val="Heading2"/>
      </w:pPr>
      <w:r>
        <w:rPr>
          <w:rFonts w:ascii="Arial" w:cs="Arial" w:eastAsia="Arial" w:hAnsi="Arial"/>
        </w:rPr>
        <w:t xml:space="preserve">2.3 Segment Selection UX</w:t>
      </w:r>
    </w:p>
    <w:p>
      <w:pPr>
        <w:spacing w:before="60" w:after="60"/>
      </w:pPr>
      <w:r>
        <w:rPr>
          <w:rFonts w:ascii="Arial" w:cs="Arial" w:eastAsia="Arial" w:hAnsi="Arial"/>
          <w:b w:val="false"/>
          <w:bCs w:val="false"/>
          <w:i w:val="false"/>
          <w:iCs w:val="false"/>
          <w:color w:val="333333"/>
          <w:sz w:val="20"/>
          <w:szCs w:val="20"/>
        </w:rPr>
        <w:t xml:space="preserve">The segment selection bar in ExpandedCanvas and InlineCanvas appears and disappears without smooth transitions, causing layout shift. There is no visual indicator of how many segments are selected at a glance, and the multi-select behavior for bar charts is not communicated to users.</w:t>
      </w:r>
    </w:p>
    <w:p>
      <w:pPr>
        <w:spacing w:before="160" w:after="0"/>
      </w:pPr>
    </w:p>
    <w:p>
      <w:pPr>
        <w:pStyle w:val="Heading2"/>
      </w:pPr>
      <w:r>
        <w:rPr>
          <w:rFonts w:ascii="Arial" w:cs="Arial" w:eastAsia="Arial" w:hAnsi="Arial"/>
        </w:rPr>
        <w:t xml:space="preserve">2.4 Query Input Placeholder Animation</w:t>
      </w:r>
    </w:p>
    <w:p>
      <w:pPr>
        <w:spacing w:before="60" w:after="60"/>
      </w:pPr>
      <w:r>
        <w:rPr>
          <w:rFonts w:ascii="Arial" w:cs="Arial" w:eastAsia="Arial" w:hAnsi="Arial"/>
          <w:b w:val="false"/>
          <w:bCs w:val="false"/>
          <w:i w:val="false"/>
          <w:iCs w:val="false"/>
          <w:color w:val="333333"/>
          <w:sz w:val="20"/>
          <w:szCs w:val="20"/>
        </w:rPr>
        <w:t xml:space="preserve">The typing animation in QueryInput.tsx continues running even when the user has started typing, which can be visually confusing. There is also no visual affordance indicating that @ and / trigger autocomplete functionality.</w:t>
      </w:r>
    </w:p>
    <w:p>
      <w:pPr>
        <w:spacing w:before="160" w:after="0"/>
      </w:pPr>
    </w:p>
    <w:p>
      <w:pPr>
        <w:pStyle w:val="Heading2"/>
      </w:pPr>
      <w:r>
        <w:rPr>
          <w:rFonts w:ascii="Arial" w:cs="Arial" w:eastAsia="Arial" w:hAnsi="Arial"/>
        </w:rPr>
        <w:t xml:space="preserve">2.5 View Switching in AudiencesList</w:t>
      </w:r>
    </w:p>
    <w:p>
      <w:pPr>
        <w:spacing w:before="60" w:after="60"/>
      </w:pPr>
      <w:r>
        <w:rPr>
          <w:rFonts w:ascii="Arial" w:cs="Arial" w:eastAsia="Arial" w:hAnsi="Arial"/>
          <w:b w:val="false"/>
          <w:bCs w:val="false"/>
          <w:i w:val="false"/>
          <w:iCs w:val="false"/>
          <w:color w:val="333333"/>
          <w:sz w:val="20"/>
          <w:szCs w:val="20"/>
        </w:rPr>
        <w:t xml:space="preserve">Switching between "all" and grouped views in AudiencesList causes a significant layout change with no transition animation. Users may feel disoriented or miss data during the switch.</w:t>
      </w:r>
    </w:p>
    <w:p>
      <w:pPr>
        <w:spacing w:before="160" w:after="0"/>
      </w:pPr>
    </w:p>
    <w:p>
      <w:pPr>
        <w:pStyle w:val="Heading2"/>
      </w:pPr>
      <w:r>
        <w:rPr>
          <w:rFonts w:ascii="Arial" w:cs="Arial" w:eastAsia="Arial" w:hAnsi="Arial"/>
        </w:rPr>
        <w:t xml:space="preserve">2.6 Process Steps Clarity</w:t>
      </w:r>
    </w:p>
    <w:p>
      <w:pPr>
        <w:spacing w:before="60" w:after="60"/>
      </w:pPr>
      <w:r>
        <w:rPr>
          <w:rFonts w:ascii="Arial" w:cs="Arial" w:eastAsia="Arial" w:hAnsi="Arial"/>
          <w:b w:val="false"/>
          <w:bCs w:val="false"/>
          <w:i w:val="false"/>
          <w:iCs w:val="false"/>
          <w:color w:val="333333"/>
          <w:sz w:val="20"/>
          <w:szCs w:val="20"/>
        </w:rPr>
        <w:t xml:space="preserve">The "Thought for Xs" messaging in ProcessSteps.tsx is somewhat cryptic without context. Expanding completed steps uses a quick, small animation that could easily be missed. The entire simulation flow in App.tsx uses a series of timed delays that create a fixed, non-responsive feel.</w:t>
      </w:r>
    </w:p>
    <w:p>
      <w:pPr>
        <w:spacing w:before="160" w:after="0"/>
      </w:pPr>
    </w:p>
    <w:p>
      <w:pPr>
        <w:pStyle w:val="Heading2"/>
      </w:pPr>
      <w:r>
        <w:rPr>
          <w:rFonts w:ascii="Arial" w:cs="Arial" w:eastAsia="Arial" w:hAnsi="Arial"/>
        </w:rPr>
        <w:t xml:space="preserve">2.7 Method Configuration Navigation</w:t>
      </w:r>
    </w:p>
    <w:p>
      <w:pPr>
        <w:spacing w:before="60" w:after="60"/>
      </w:pPr>
      <w:r>
        <w:rPr>
          <w:rFonts w:ascii="Arial" w:cs="Arial" w:eastAsia="Arial" w:hAnsi="Arial"/>
          <w:b w:val="false"/>
          <w:bCs w:val="false"/>
          <w:i w:val="false"/>
          <w:iCs w:val="false"/>
          <w:color w:val="333333"/>
          <w:sz w:val="20"/>
          <w:szCs w:val="20"/>
        </w:rPr>
        <w:t xml:space="preserve">Three separate components exist for method configuration (MethodFullPage, MethodSheet, MethodSidePanel) but the criteria for which one appears is unclear from a user perspective. The transition between these views should be more intentional, with consistent entry/exit animations.</w:t>
      </w:r>
    </w:p>
    <w:p>
      <w:pPr>
        <w:spacing w:before="160" w:after="0"/>
      </w:pPr>
    </w:p>
    <w:p>
      <w:pPr>
        <w:pStyle w:val="Heading2"/>
      </w:pPr>
      <w:r>
        <w:rPr>
          <w:rFonts w:ascii="Arial" w:cs="Arial" w:eastAsia="Arial" w:hAnsi="Arial"/>
        </w:rPr>
        <w:t xml:space="preserve">2.8 Conditional Rendering Complexity in App.tsx</w:t>
      </w:r>
    </w:p>
    <w:p>
      <w:pPr>
        <w:spacing w:before="60" w:after="60"/>
      </w:pPr>
      <w:r>
        <w:rPr>
          <w:rFonts w:ascii="Arial" w:cs="Arial" w:eastAsia="Arial" w:hAnsi="Arial"/>
          <w:b w:val="false"/>
          <w:bCs w:val="false"/>
          <w:i w:val="false"/>
          <w:iCs w:val="false"/>
          <w:color w:val="333333"/>
          <w:sz w:val="20"/>
          <w:szCs w:val="20"/>
        </w:rPr>
        <w:t xml:space="preserve">The main App component has deeply nested ternary rendering: creatingMethod vs expandedCanvas vs activeView. This creates confusing view state transitions and makes it difficult to reason about what the user sees at any given moment.</w:t>
      </w:r>
    </w:p>
    <w:p>
      <w:pPr>
        <w:spacing w:before="40" w:after="0"/>
      </w:pPr>
    </w:p>
    <w:p>
      <w:pPr>
        <w:spacing w:before="60" w:after="60"/>
      </w:pPr>
      <w:r>
        <w:rPr>
          <w:rFonts w:ascii="Arial" w:cs="Arial" w:eastAsia="Arial" w:hAnsi="Arial"/>
          <w:b/>
          <w:bCs/>
          <w:i w:val="false"/>
          <w:iCs w:val="false"/>
          <w:color w:val="333333"/>
          <w:sz w:val="20"/>
          <w:szCs w:val="20"/>
        </w:rPr>
        <w:t xml:space="preserve">Recommendation: </w:t>
      </w:r>
      <w:r>
        <w:rPr>
          <w:rFonts w:ascii="Arial" w:cs="Arial" w:eastAsia="Arial" w:hAnsi="Arial"/>
          <w:b w:val="false"/>
          <w:bCs w:val="false"/>
          <w:i w:val="false"/>
          <w:iCs w:val="false"/>
          <w:color w:val="333333"/>
          <w:sz w:val="20"/>
          <w:szCs w:val="20"/>
        </w:rPr>
        <w:t xml:space="preserve">Introduce a view state machine or router to make navigation explicit and predictable.</w:t>
      </w:r>
    </w:p>
    <w:p>
      <w:r>
        <w:br w:type="page"/>
      </w:r>
    </w:p>
    <w:p>
      <w:pPr>
        <w:pStyle w:val="Heading1"/>
      </w:pPr>
      <w:r>
        <w:rPr>
          <w:rFonts w:ascii="Arial" w:cs="Arial" w:eastAsia="Arial" w:hAnsi="Arial"/>
        </w:rPr>
        <w:t xml:space="preserve">3. Design System Inconsistencies</w:t>
      </w:r>
    </w:p>
    <w:p>
      <w:pPr>
        <w:spacing w:before="60" w:after="60"/>
      </w:pPr>
      <w:r>
        <w:rPr>
          <w:rFonts w:ascii="Arial" w:cs="Arial" w:eastAsia="Arial" w:hAnsi="Arial"/>
          <w:b w:val="false"/>
          <w:bCs w:val="false"/>
          <w:i w:val="false"/>
          <w:iCs w:val="false"/>
          <w:color w:val="333333"/>
          <w:sz w:val="20"/>
          <w:szCs w:val="20"/>
        </w:rPr>
        <w:t xml:space="preserve">The prototype uses Tailwind CSS with shadcn/ui components and custom CSS variables in globals.css. However, the application of these design tokens is inconsistent across components. Below is a detailed breakdown.</w:t>
      </w:r>
    </w:p>
    <w:p>
      <w:pPr>
        <w:spacing w:before="120" w:after="0"/>
      </w:pPr>
    </w:p>
    <w:p>
      <w:pPr>
        <w:pStyle w:val="Heading2"/>
      </w:pPr>
      <w:r>
        <w:rPr>
          <w:rFonts w:ascii="Arial" w:cs="Arial" w:eastAsia="Arial" w:hAnsi="Arial"/>
        </w:rPr>
        <w:t xml:space="preserve">3.1 Color Token Usage</w:t>
      </w:r>
    </w:p>
    <w:p>
      <w:pPr>
        <w:spacing w:before="60" w:after="60"/>
      </w:pPr>
      <w:r>
        <w:rPr>
          <w:rFonts w:ascii="Arial" w:cs="Arial" w:eastAsia="Arial" w:hAnsi="Arial"/>
          <w:b w:val="false"/>
          <w:bCs w:val="false"/>
          <w:i w:val="false"/>
          <w:iCs w:val="false"/>
          <w:color w:val="333333"/>
          <w:sz w:val="20"/>
          <w:szCs w:val="20"/>
        </w:rPr>
        <w:t xml:space="preserve">The most pervasive design system issue is the mixing of three different color systems across the codebase: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System</w:t>
            </w:r>
          </w:p>
        </w:tc>
        <w:tc>
          <w:tcPr>
            <w:tcW w:type="dxa" w:w="358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Example</w:t>
            </w:r>
          </w:p>
        </w:tc>
        <w:tc>
          <w:tcPr>
            <w:tcW w:type="dxa" w:w="358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Used In</w:t>
            </w:r>
          </w:p>
        </w:tc>
      </w:tr>
      <w:tr>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Design tokens</w:t>
            </w:r>
          </w:p>
        </w:tc>
        <w:tc>
          <w:tcPr>
            <w:tcW w:type="dxa" w:w="358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text-foreground, bg-background, border-border</w:t>
            </w:r>
          </w:p>
        </w:tc>
        <w:tc>
          <w:tcPr>
            <w:tcW w:type="dxa" w:w="358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WorkingPane, layout components</w:t>
            </w:r>
          </w:p>
        </w:tc>
      </w:tr>
      <w:tr>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Hardcoded Tailwind</w:t>
            </w:r>
          </w:p>
        </w:tc>
        <w:tc>
          <w:tcPr>
            <w:tcW w:type="dxa" w:w="358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text-gray-900, bg-white, border-gray-200</w:t>
            </w:r>
          </w:p>
        </w:tc>
        <w:tc>
          <w:tcPr>
            <w:tcW w:type="dxa" w:w="358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AudienceDetail, AudiencesList</w:t>
            </w:r>
          </w:p>
        </w:tc>
      </w:tr>
      <w:tr>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CSS variables</w:t>
            </w:r>
          </w:p>
        </w:tc>
        <w:tc>
          <w:tcPr>
            <w:tcW w:type="dxa" w:w="358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var(--background), var(--border), var(--text-primary)</w:t>
            </w:r>
          </w:p>
        </w:tc>
        <w:tc>
          <w:tcPr>
            <w:tcW w:type="dxa" w:w="358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EditQuestionModal</w:t>
            </w:r>
          </w:p>
        </w:tc>
      </w:tr>
    </w:tbl>
    <w:p>
      <w:pPr>
        <w:spacing w:before="80" w:after="0"/>
      </w:pPr>
    </w:p>
    <w:p>
      <w:pPr>
        <w:spacing w:before="60" w:after="60"/>
      </w:pPr>
      <w:r>
        <w:rPr>
          <w:rFonts w:ascii="Arial" w:cs="Arial" w:eastAsia="Arial" w:hAnsi="Arial"/>
          <w:b w:val="false"/>
          <w:bCs w:val="false"/>
          <w:i w:val="false"/>
          <w:iCs w:val="false"/>
          <w:color w:val="333333"/>
          <w:sz w:val="20"/>
          <w:szCs w:val="20"/>
        </w:rPr>
        <w:t xml:space="preserve">All components should use the design token system (text-foreground, bg-background, etc.) for theme compatibility. Hardcoded colors like text-gray-900 and bg-white will break in dark mode.</w:t>
      </w:r>
    </w:p>
    <w:p>
      <w:pPr>
        <w:spacing w:before="160" w:after="0"/>
      </w:pPr>
    </w:p>
    <w:p>
      <w:pPr>
        <w:pStyle w:val="Heading2"/>
      </w:pPr>
      <w:r>
        <w:rPr>
          <w:rFonts w:ascii="Arial" w:cs="Arial" w:eastAsia="Arial" w:hAnsi="Arial"/>
        </w:rPr>
        <w:t xml:space="preserve">3.2 Spacing Scale</w:t>
      </w:r>
    </w:p>
    <w:p>
      <w:pPr>
        <w:spacing w:before="60" w:after="60"/>
      </w:pPr>
      <w:r>
        <w:rPr>
          <w:rFonts w:ascii="Arial" w:cs="Arial" w:eastAsia="Arial" w:hAnsi="Arial"/>
          <w:b w:val="false"/>
          <w:bCs w:val="false"/>
          <w:i w:val="false"/>
          <w:iCs w:val="false"/>
          <w:color w:val="333333"/>
          <w:sz w:val="20"/>
          <w:szCs w:val="20"/>
        </w:rPr>
        <w:t xml:space="preserve">Component spacing varies significantly without a clear rationale: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Component</w:t>
            </w:r>
          </w:p>
        </w:tc>
        <w:tc>
          <w:tcPr>
            <w:tcW w:type="dxa" w:w="312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Internal Spacing</w:t>
            </w:r>
          </w:p>
        </w:tc>
        <w:tc>
          <w:tcPr>
            <w:tcW w:type="dxa" w:w="312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Container Padding</w:t>
            </w:r>
          </w:p>
        </w:tc>
      </w:tr>
      <w:tr>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MethodSheet</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space-y-6</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p-6</w:t>
            </w:r>
          </w:p>
        </w:tc>
      </w:tr>
      <w:tr>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MethodSidePanel</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space-y-5</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p-4</w:t>
            </w:r>
          </w:p>
        </w:tc>
      </w:tr>
      <w:tr>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WorkingPane</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space-y-8</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py-6</w:t>
            </w:r>
          </w:p>
        </w:tc>
      </w:tr>
      <w:tr>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ExpandedCanvas</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space-y-10</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pb-10</w:t>
            </w:r>
          </w:p>
        </w:tc>
      </w:tr>
      <w:tr>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AudienceDetail</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gap-6</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p-6</w:t>
            </w:r>
          </w:p>
        </w:tc>
      </w:tr>
      <w:tr>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AudiencesList</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gap-3 / mb-3</w:t>
            </w:r>
          </w:p>
        </w:tc>
        <w:tc>
          <w:tcPr>
            <w:tcW w:type="dxa" w:w="312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Courier New" w:cs="Courier New" w:eastAsia="Courier New" w:hAnsi="Courier New"/>
                <w:b w:val="false"/>
                <w:bCs w:val="false"/>
                <w:color w:val="333333"/>
                <w:sz w:val="18"/>
                <w:szCs w:val="18"/>
              </w:rPr>
              <w:t xml:space="preserve">p-6</w:t>
            </w:r>
          </w:p>
        </w:tc>
      </w:tr>
    </w:tbl>
    <w:p>
      <w:pPr>
        <w:spacing w:before="80" w:after="0"/>
      </w:pPr>
    </w:p>
    <w:p>
      <w:pPr>
        <w:spacing w:before="60" w:after="60"/>
      </w:pPr>
      <w:r>
        <w:rPr>
          <w:rFonts w:ascii="Arial" w:cs="Arial" w:eastAsia="Arial" w:hAnsi="Arial"/>
          <w:b/>
          <w:bCs/>
          <w:i w:val="false"/>
          <w:iCs w:val="false"/>
          <w:color w:val="333333"/>
          <w:sz w:val="20"/>
          <w:szCs w:val="20"/>
        </w:rPr>
        <w:t xml:space="preserve">Recommendation: </w:t>
      </w:r>
      <w:r>
        <w:rPr>
          <w:rFonts w:ascii="Arial" w:cs="Arial" w:eastAsia="Arial" w:hAnsi="Arial"/>
          <w:b w:val="false"/>
          <w:bCs w:val="false"/>
          <w:i w:val="false"/>
          <w:iCs w:val="false"/>
          <w:color w:val="333333"/>
          <w:sz w:val="20"/>
          <w:szCs w:val="20"/>
        </w:rPr>
        <w:t xml:space="preserve">Establish a spacing convention, e.g., content padding: </w:t>
      </w:r>
      <w:r>
        <w:rPr>
          <w:rFonts w:ascii="Courier New" w:cs="Courier New" w:eastAsia="Courier New" w:hAnsi="Courier New"/>
          <w:b w:val="false"/>
          <w:bCs w:val="false"/>
          <w:i w:val="false"/>
          <w:iCs w:val="false"/>
          <w:color w:val="333333"/>
          <w:sz w:val="20"/>
          <w:szCs w:val="20"/>
        </w:rPr>
        <w:t xml:space="preserve">p-6</w:t>
      </w:r>
      <w:r>
        <w:rPr>
          <w:rFonts w:ascii="Arial" w:cs="Arial" w:eastAsia="Arial" w:hAnsi="Arial"/>
          <w:b w:val="false"/>
          <w:bCs w:val="false"/>
          <w:i w:val="false"/>
          <w:iCs w:val="false"/>
          <w:color w:val="333333"/>
          <w:sz w:val="20"/>
          <w:szCs w:val="20"/>
        </w:rPr>
        <w:t xml:space="preserve"> for panels, </w:t>
      </w:r>
      <w:r>
        <w:rPr>
          <w:rFonts w:ascii="Courier New" w:cs="Courier New" w:eastAsia="Courier New" w:hAnsi="Courier New"/>
          <w:b w:val="false"/>
          <w:bCs w:val="false"/>
          <w:i w:val="false"/>
          <w:iCs w:val="false"/>
          <w:color w:val="333333"/>
          <w:sz w:val="20"/>
          <w:szCs w:val="20"/>
        </w:rPr>
        <w:t xml:space="preserve">space-y-6</w:t>
      </w:r>
      <w:r>
        <w:rPr>
          <w:rFonts w:ascii="Arial" w:cs="Arial" w:eastAsia="Arial" w:hAnsi="Arial"/>
          <w:b w:val="false"/>
          <w:bCs w:val="false"/>
          <w:i w:val="false"/>
          <w:iCs w:val="false"/>
          <w:color w:val="333333"/>
          <w:sz w:val="20"/>
          <w:szCs w:val="20"/>
        </w:rPr>
        <w:t xml:space="preserve"> between sections, </w:t>
      </w:r>
      <w:r>
        <w:rPr>
          <w:rFonts w:ascii="Courier New" w:cs="Courier New" w:eastAsia="Courier New" w:hAnsi="Courier New"/>
          <w:b w:val="false"/>
          <w:bCs w:val="false"/>
          <w:i w:val="false"/>
          <w:iCs w:val="false"/>
          <w:color w:val="333333"/>
          <w:sz w:val="20"/>
          <w:szCs w:val="20"/>
        </w:rPr>
        <w:t xml:space="preserve">space-y-3</w:t>
      </w:r>
      <w:r>
        <w:rPr>
          <w:rFonts w:ascii="Arial" w:cs="Arial" w:eastAsia="Arial" w:hAnsi="Arial"/>
          <w:b w:val="false"/>
          <w:bCs w:val="false"/>
          <w:i w:val="false"/>
          <w:iCs w:val="false"/>
          <w:color w:val="333333"/>
          <w:sz w:val="20"/>
          <w:szCs w:val="20"/>
        </w:rPr>
        <w:t xml:space="preserve"> between related items. Document in a design-tokens.md file.</w:t>
      </w:r>
    </w:p>
    <w:p>
      <w:pPr>
        <w:spacing w:before="160" w:after="0"/>
      </w:pPr>
    </w:p>
    <w:p>
      <w:pPr>
        <w:pStyle w:val="Heading2"/>
      </w:pPr>
      <w:r>
        <w:rPr>
          <w:rFonts w:ascii="Arial" w:cs="Arial" w:eastAsia="Arial" w:hAnsi="Arial"/>
        </w:rPr>
        <w:t xml:space="preserve">3.3 Border Radius</w:t>
      </w:r>
    </w:p>
    <w:p>
      <w:pPr>
        <w:spacing w:before="60" w:after="60"/>
      </w:pPr>
      <w:r>
        <w:rPr>
          <w:rFonts w:ascii="Arial" w:cs="Arial" w:eastAsia="Arial" w:hAnsi="Arial"/>
          <w:b w:val="false"/>
          <w:bCs w:val="false"/>
          <w:i w:val="false"/>
          <w:iCs w:val="false"/>
          <w:color w:val="333333"/>
          <w:sz w:val="20"/>
          <w:szCs w:val="20"/>
        </w:rPr>
        <w:t xml:space="preserve">Six different border-radius values are used without clear hierarchy: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rounded-sm</w:t>
            </w:r>
          </w:p>
        </w:tc>
        <w:tc>
          <w:tcPr>
            <w:tcW w:type="dxa" w:w="156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rounded-md</w:t>
            </w:r>
          </w:p>
        </w:tc>
        <w:tc>
          <w:tcPr>
            <w:tcW w:type="dxa" w:w="156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rounded-lg</w:t>
            </w:r>
          </w:p>
        </w:tc>
        <w:tc>
          <w:tcPr>
            <w:tcW w:type="dxa" w:w="156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rounded-xl</w:t>
            </w:r>
          </w:p>
        </w:tc>
        <w:tc>
          <w:tcPr>
            <w:tcW w:type="dxa" w:w="156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rounded-2xl</w:t>
            </w:r>
          </w:p>
        </w:tc>
        <w:tc>
          <w:tcPr>
            <w:tcW w:type="dxa" w:w="156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rounded-full</w:t>
            </w:r>
          </w:p>
        </w:tc>
      </w:tr>
      <w:tr>
        <w:tc>
          <w:tcPr>
            <w:tcW w:type="dxa" w:w="15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3 uses</w:t>
            </w:r>
          </w:p>
        </w:tc>
        <w:tc>
          <w:tcPr>
            <w:tcW w:type="dxa" w:w="15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10+ uses</w:t>
            </w:r>
          </w:p>
        </w:tc>
        <w:tc>
          <w:tcPr>
            <w:tcW w:type="dxa" w:w="15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15+ uses</w:t>
            </w:r>
          </w:p>
        </w:tc>
        <w:tc>
          <w:tcPr>
            <w:tcW w:type="dxa" w:w="15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5 uses</w:t>
            </w:r>
          </w:p>
        </w:tc>
        <w:tc>
          <w:tcPr>
            <w:tcW w:type="dxa" w:w="15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3 uses</w:t>
            </w:r>
          </w:p>
        </w:tc>
        <w:tc>
          <w:tcPr>
            <w:tcW w:type="dxa" w:w="15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4 uses</w:t>
            </w:r>
          </w:p>
        </w:tc>
      </w:tr>
    </w:tbl>
    <w:p>
      <w:pPr>
        <w:spacing w:before="80" w:after="0"/>
      </w:pPr>
    </w:p>
    <w:p>
      <w:pPr>
        <w:spacing w:before="60" w:after="60"/>
      </w:pPr>
      <w:r>
        <w:rPr>
          <w:rFonts w:ascii="Arial" w:cs="Arial" w:eastAsia="Arial" w:hAnsi="Arial"/>
          <w:b/>
          <w:bCs/>
          <w:i w:val="false"/>
          <w:iCs w:val="false"/>
          <w:color w:val="333333"/>
          <w:sz w:val="20"/>
          <w:szCs w:val="20"/>
        </w:rPr>
        <w:t xml:space="preserve">Recommendation: </w:t>
      </w:r>
      <w:r>
        <w:rPr>
          <w:rFonts w:ascii="Arial" w:cs="Arial" w:eastAsia="Arial" w:hAnsi="Arial"/>
          <w:b w:val="false"/>
          <w:bCs w:val="false"/>
          <w:i w:val="false"/>
          <w:iCs w:val="false"/>
          <w:color w:val="333333"/>
          <w:sz w:val="20"/>
          <w:szCs w:val="20"/>
        </w:rPr>
        <w:t xml:space="preserve">Standardize on 3 tiers: </w:t>
      </w:r>
      <w:r>
        <w:rPr>
          <w:rFonts w:ascii="Courier New" w:cs="Courier New" w:eastAsia="Courier New" w:hAnsi="Courier New"/>
          <w:b w:val="false"/>
          <w:bCs w:val="false"/>
          <w:i w:val="false"/>
          <w:iCs w:val="false"/>
          <w:color w:val="333333"/>
          <w:sz w:val="20"/>
          <w:szCs w:val="20"/>
        </w:rPr>
        <w:t xml:space="preserve">rounded-md</w:t>
      </w:r>
      <w:r>
        <w:rPr>
          <w:rFonts w:ascii="Arial" w:cs="Arial" w:eastAsia="Arial" w:hAnsi="Arial"/>
          <w:b w:val="false"/>
          <w:bCs w:val="false"/>
          <w:i w:val="false"/>
          <w:iCs w:val="false"/>
          <w:color w:val="333333"/>
          <w:sz w:val="20"/>
          <w:szCs w:val="20"/>
        </w:rPr>
        <w:t xml:space="preserve"> (inputs, small elements), </w:t>
      </w:r>
      <w:r>
        <w:rPr>
          <w:rFonts w:ascii="Courier New" w:cs="Courier New" w:eastAsia="Courier New" w:hAnsi="Courier New"/>
          <w:b w:val="false"/>
          <w:bCs w:val="false"/>
          <w:i w:val="false"/>
          <w:iCs w:val="false"/>
          <w:color w:val="333333"/>
          <w:sz w:val="20"/>
          <w:szCs w:val="20"/>
        </w:rPr>
        <w:t xml:space="preserve">rounded-lg</w:t>
      </w:r>
      <w:r>
        <w:rPr>
          <w:rFonts w:ascii="Arial" w:cs="Arial" w:eastAsia="Arial" w:hAnsi="Arial"/>
          <w:b w:val="false"/>
          <w:bCs w:val="false"/>
          <w:i w:val="false"/>
          <w:iCs w:val="false"/>
          <w:color w:val="333333"/>
          <w:sz w:val="20"/>
          <w:szCs w:val="20"/>
        </w:rPr>
        <w:t xml:space="preserve"> (cards, panels), </w:t>
      </w:r>
      <w:r>
        <w:rPr>
          <w:rFonts w:ascii="Courier New" w:cs="Courier New" w:eastAsia="Courier New" w:hAnsi="Courier New"/>
          <w:b w:val="false"/>
          <w:bCs w:val="false"/>
          <w:i w:val="false"/>
          <w:iCs w:val="false"/>
          <w:color w:val="333333"/>
          <w:sz w:val="20"/>
          <w:szCs w:val="20"/>
        </w:rPr>
        <w:t xml:space="preserve">rounded-full</w:t>
      </w:r>
      <w:r>
        <w:rPr>
          <w:rFonts w:ascii="Arial" w:cs="Arial" w:eastAsia="Arial" w:hAnsi="Arial"/>
          <w:b w:val="false"/>
          <w:bCs w:val="false"/>
          <w:i w:val="false"/>
          <w:iCs w:val="false"/>
          <w:color w:val="333333"/>
          <w:sz w:val="20"/>
          <w:szCs w:val="20"/>
        </w:rPr>
        <w:t xml:space="preserve"> (pills, avatars only).</w:t>
      </w:r>
    </w:p>
    <w:p>
      <w:pPr>
        <w:spacing w:before="160" w:after="0"/>
      </w:pPr>
    </w:p>
    <w:p>
      <w:pPr>
        <w:pStyle w:val="Heading2"/>
      </w:pPr>
      <w:r>
        <w:rPr>
          <w:rFonts w:ascii="Arial" w:cs="Arial" w:eastAsia="Arial" w:hAnsi="Arial"/>
        </w:rPr>
        <w:t xml:space="preserve">3.4 Button Sizing</w:t>
      </w:r>
    </w:p>
    <w:p>
      <w:pPr>
        <w:spacing w:before="60" w:after="60"/>
      </w:pPr>
      <w:r>
        <w:rPr>
          <w:rFonts w:ascii="Arial" w:cs="Arial" w:eastAsia="Arial" w:hAnsi="Arial"/>
          <w:b w:val="false"/>
          <w:bCs w:val="false"/>
          <w:i w:val="false"/>
          <w:iCs w:val="false"/>
          <w:color w:val="333333"/>
          <w:sz w:val="20"/>
          <w:szCs w:val="20"/>
        </w:rPr>
        <w:t xml:space="preserve">Button heights vary across components without consistent sizing tiers:</w:t>
      </w:r>
    </w:p>
    <w:p>
      <w:pPr>
        <w:pStyle w:val="ListParagraph"/>
        <w:numPr>
          <w:ilvl w:val="0"/>
          <w:numId w:val="2"/>
        </w:numPr>
        <w:spacing w:before="40" w:after="40"/>
      </w:pPr>
      <w:r>
        <w:rPr>
          <w:rFonts w:ascii="Arial" w:cs="Arial" w:eastAsia="Arial" w:hAnsi="Arial"/>
          <w:color w:val="333333"/>
          <w:sz w:val="20"/>
          <w:szCs w:val="20"/>
        </w:rPr>
        <w:t xml:space="preserve">MethodSheet buttons: h-11</w:t>
      </w:r>
    </w:p>
    <w:p>
      <w:pPr>
        <w:pStyle w:val="ListParagraph"/>
        <w:numPr>
          <w:ilvl w:val="0"/>
          <w:numId w:val="2"/>
        </w:numPr>
        <w:spacing w:before="40" w:after="40"/>
      </w:pPr>
      <w:r>
        <w:rPr>
          <w:rFonts w:ascii="Arial" w:cs="Arial" w:eastAsia="Arial" w:hAnsi="Arial"/>
          <w:color w:val="333333"/>
          <w:sz w:val="20"/>
          <w:szCs w:val="20"/>
        </w:rPr>
        <w:t xml:space="preserve">MethodSidePanel buttons: h-9</w:t>
      </w:r>
    </w:p>
    <w:p>
      <w:pPr>
        <w:pStyle w:val="ListParagraph"/>
        <w:numPr>
          <w:ilvl w:val="0"/>
          <w:numId w:val="2"/>
        </w:numPr>
        <w:spacing w:before="40" w:after="40"/>
      </w:pPr>
      <w:r>
        <w:rPr>
          <w:rFonts w:ascii="Arial" w:cs="Arial" w:eastAsia="Arial" w:hAnsi="Arial"/>
          <w:color w:val="333333"/>
          <w:sz w:val="20"/>
          <w:szCs w:val="20"/>
        </w:rPr>
        <w:t xml:space="preserve">QueryInput buttons: h-8, h-9, and h-10 in the same component</w:t>
      </w:r>
    </w:p>
    <w:p>
      <w:pPr>
        <w:spacing w:before="40" w:after="0"/>
      </w:pPr>
    </w:p>
    <w:p>
      <w:pPr>
        <w:spacing w:before="60" w:after="60"/>
      </w:pPr>
      <w:r>
        <w:rPr>
          <w:rFonts w:ascii="Arial" w:cs="Arial" w:eastAsia="Arial" w:hAnsi="Arial"/>
          <w:b/>
          <w:bCs/>
          <w:i w:val="false"/>
          <w:iCs w:val="false"/>
          <w:color w:val="333333"/>
          <w:sz w:val="20"/>
          <w:szCs w:val="20"/>
        </w:rPr>
        <w:t xml:space="preserve">Recommendation: </w:t>
      </w:r>
      <w:r>
        <w:rPr>
          <w:rFonts w:ascii="Arial" w:cs="Arial" w:eastAsia="Arial" w:hAnsi="Arial"/>
          <w:b w:val="false"/>
          <w:bCs w:val="false"/>
          <w:i w:val="false"/>
          <w:iCs w:val="false"/>
          <w:color w:val="333333"/>
          <w:sz w:val="20"/>
          <w:szCs w:val="20"/>
        </w:rPr>
        <w:t xml:space="preserve">Use the shadcn/ui Button size variants consistently: </w:t>
      </w:r>
      <w:r>
        <w:rPr>
          <w:rFonts w:ascii="Courier New" w:cs="Courier New" w:eastAsia="Courier New" w:hAnsi="Courier New"/>
          <w:b w:val="false"/>
          <w:bCs w:val="false"/>
          <w:i w:val="false"/>
          <w:iCs w:val="false"/>
          <w:color w:val="333333"/>
          <w:sz w:val="20"/>
          <w:szCs w:val="20"/>
        </w:rPr>
        <w:t xml:space="preserve">sm</w:t>
      </w:r>
      <w:r>
        <w:rPr>
          <w:rFonts w:ascii="Arial" w:cs="Arial" w:eastAsia="Arial" w:hAnsi="Arial"/>
          <w:b w:val="false"/>
          <w:bCs w:val="false"/>
          <w:i w:val="false"/>
          <w:iCs w:val="false"/>
          <w:color w:val="333333"/>
          <w:sz w:val="20"/>
          <w:szCs w:val="20"/>
        </w:rPr>
        <w:t xml:space="preserve"> (h-8), </w:t>
      </w:r>
      <w:r>
        <w:rPr>
          <w:rFonts w:ascii="Courier New" w:cs="Courier New" w:eastAsia="Courier New" w:hAnsi="Courier New"/>
          <w:b w:val="false"/>
          <w:bCs w:val="false"/>
          <w:i w:val="false"/>
          <w:iCs w:val="false"/>
          <w:color w:val="333333"/>
          <w:sz w:val="20"/>
          <w:szCs w:val="20"/>
        </w:rPr>
        <w:t xml:space="preserve">default</w:t>
      </w:r>
      <w:r>
        <w:rPr>
          <w:rFonts w:ascii="Arial" w:cs="Arial" w:eastAsia="Arial" w:hAnsi="Arial"/>
          <w:b w:val="false"/>
          <w:bCs w:val="false"/>
          <w:i w:val="false"/>
          <w:iCs w:val="false"/>
          <w:color w:val="333333"/>
          <w:sz w:val="20"/>
          <w:szCs w:val="20"/>
        </w:rPr>
        <w:t xml:space="preserve"> (h-9), </w:t>
      </w:r>
      <w:r>
        <w:rPr>
          <w:rFonts w:ascii="Courier New" w:cs="Courier New" w:eastAsia="Courier New" w:hAnsi="Courier New"/>
          <w:b w:val="false"/>
          <w:bCs w:val="false"/>
          <w:i w:val="false"/>
          <w:iCs w:val="false"/>
          <w:color w:val="333333"/>
          <w:sz w:val="20"/>
          <w:szCs w:val="20"/>
        </w:rPr>
        <w:t xml:space="preserve">lg</w:t>
      </w:r>
      <w:r>
        <w:rPr>
          <w:rFonts w:ascii="Arial" w:cs="Arial" w:eastAsia="Arial" w:hAnsi="Arial"/>
          <w:b w:val="false"/>
          <w:bCs w:val="false"/>
          <w:i w:val="false"/>
          <w:iCs w:val="false"/>
          <w:color w:val="333333"/>
          <w:sz w:val="20"/>
          <w:szCs w:val="20"/>
        </w:rPr>
        <w:t xml:space="preserve"> (h-11).</w:t>
      </w:r>
    </w:p>
    <w:p>
      <w:pPr>
        <w:spacing w:before="160" w:after="0"/>
      </w:pPr>
    </w:p>
    <w:p>
      <w:pPr>
        <w:pStyle w:val="Heading2"/>
      </w:pPr>
      <w:r>
        <w:rPr>
          <w:rFonts w:ascii="Arial" w:cs="Arial" w:eastAsia="Arial" w:hAnsi="Arial"/>
        </w:rPr>
        <w:t xml:space="preserve">3.5 Shadow Usage</w:t>
      </w:r>
    </w:p>
    <w:p>
      <w:pPr>
        <w:spacing w:before="60" w:after="60"/>
      </w:pPr>
      <w:r>
        <w:rPr>
          <w:rFonts w:ascii="Arial" w:cs="Arial" w:eastAsia="Arial" w:hAnsi="Arial"/>
          <w:b w:val="false"/>
          <w:bCs w:val="false"/>
          <w:i w:val="false"/>
          <w:iCs w:val="false"/>
          <w:color w:val="333333"/>
          <w:sz w:val="20"/>
          <w:szCs w:val="20"/>
        </w:rPr>
        <w:t xml:space="preserve">Shadows range from shadow-sm to shadow-2xl with no clear hierarchy. Additionally, globals.css defines shadow-2xs and shadow-xs as identical values, and shadow-sm and shadow (default) are also identical – these appear to be copy-paste errors.</w:t>
      </w:r>
    </w:p>
    <w:p>
      <w:pPr>
        <w:spacing w:before="160" w:after="0"/>
      </w:pPr>
    </w:p>
    <w:p>
      <w:pPr>
        <w:pStyle w:val="Heading2"/>
      </w:pPr>
      <w:r>
        <w:rPr>
          <w:rFonts w:ascii="Arial" w:cs="Arial" w:eastAsia="Arial" w:hAnsi="Arial"/>
        </w:rPr>
        <w:t xml:space="preserve">3.6 Typography</w:t>
      </w:r>
    </w:p>
    <w:p>
      <w:pPr>
        <w:spacing w:before="60" w:after="60"/>
      </w:pPr>
      <w:r>
        <w:rPr>
          <w:rFonts w:ascii="Arial" w:cs="Arial" w:eastAsia="Arial" w:hAnsi="Arial"/>
          <w:b w:val="false"/>
          <w:bCs w:val="false"/>
          <w:i w:val="false"/>
          <w:iCs w:val="false"/>
          <w:color w:val="333333"/>
          <w:sz w:val="20"/>
          <w:szCs w:val="20"/>
        </w:rPr>
        <w:t xml:space="preserve">Header sizing is inconsistent: some sections use text-lg, others text-xl, others text-2xl for equivalent hierarchy levels. Body text alternates between text-sm and the implicit default. Labels use text-xs in some places and text-sm in others for the same type of content.</w:t>
      </w:r>
    </w:p>
    <w:p>
      <w:pPr>
        <w:spacing w:before="40" w:after="0"/>
      </w:pPr>
    </w:p>
    <w:p>
      <w:pPr>
        <w:spacing w:before="60" w:after="60"/>
      </w:pPr>
      <w:r>
        <w:rPr>
          <w:rFonts w:ascii="Arial" w:cs="Arial" w:eastAsia="Arial" w:hAnsi="Arial"/>
          <w:b w:val="false"/>
          <w:bCs w:val="false"/>
          <w:i w:val="false"/>
          <w:iCs w:val="false"/>
          <w:color w:val="333333"/>
          <w:sz w:val="20"/>
          <w:szCs w:val="20"/>
        </w:rPr>
        <w:t xml:space="preserve">The font loading setup also has a gap: globals.css declares Geist, Cabinet Grotesk, Arbutus Slab, and JetBrains Mono as font families, but the tailwind.config.js font-family values reference CSS variables without system font fallbacks.</w:t>
      </w:r>
    </w:p>
    <w:p>
      <w:pPr>
        <w:spacing w:before="160" w:after="0"/>
      </w:pPr>
    </w:p>
    <w:p>
      <w:pPr>
        <w:pStyle w:val="Heading2"/>
      </w:pPr>
      <w:r>
        <w:rPr>
          <w:rFonts w:ascii="Arial" w:cs="Arial" w:eastAsia="Arial" w:hAnsi="Arial"/>
        </w:rPr>
        <w:t xml:space="preserve">3.7 Inline Styles vs Tailwind</w:t>
      </w:r>
    </w:p>
    <w:p>
      <w:pPr>
        <w:spacing w:before="60" w:after="60"/>
      </w:pPr>
      <w:r>
        <w:rPr>
          <w:rFonts w:ascii="Arial" w:cs="Arial" w:eastAsia="Arial" w:hAnsi="Arial"/>
          <w:b w:val="false"/>
          <w:bCs w:val="false"/>
          <w:i w:val="false"/>
          <w:iCs w:val="false"/>
          <w:color w:val="333333"/>
          <w:sz w:val="20"/>
          <w:szCs w:val="20"/>
        </w:rPr>
        <w:t xml:space="preserve">12+ components mix inline React styles with Tailwind classes. The most common pattern is inline width percentages for progress bars and inline backgroundColor for brand-colored elements. EditQuestionModal is the worst offender, using CSS variable references (var(--background)) directly in style attributes.</w:t>
      </w:r>
    </w:p>
    <w:p>
      <w:pPr>
        <w:spacing w:before="40" w:after="0"/>
      </w:pPr>
    </w:p>
    <w:p>
      <w:pPr>
        <w:spacing w:before="60" w:after="60"/>
      </w:pPr>
      <w:r>
        <w:rPr>
          <w:rFonts w:ascii="Arial" w:cs="Arial" w:eastAsia="Arial" w:hAnsi="Arial"/>
          <w:b/>
          <w:bCs/>
          <w:i w:val="false"/>
          <w:iCs w:val="false"/>
          <w:color w:val="333333"/>
          <w:sz w:val="20"/>
          <w:szCs w:val="20"/>
        </w:rPr>
        <w:t xml:space="preserve">Recommendation: </w:t>
      </w:r>
      <w:r>
        <w:rPr>
          <w:rFonts w:ascii="Arial" w:cs="Arial" w:eastAsia="Arial" w:hAnsi="Arial"/>
          <w:b w:val="false"/>
          <w:bCs w:val="false"/>
          <w:i w:val="false"/>
          <w:iCs w:val="false"/>
          <w:color w:val="333333"/>
          <w:sz w:val="20"/>
          <w:szCs w:val="20"/>
        </w:rPr>
        <w:t xml:space="preserve">For dynamic values like percentages, inline style is acceptable. For brand colors, use CSS custom properties via Tailwind arbitrary values: </w:t>
      </w:r>
      <w:r>
        <w:rPr>
          <w:rFonts w:ascii="Courier New" w:cs="Courier New" w:eastAsia="Courier New" w:hAnsi="Courier New"/>
          <w:b w:val="false"/>
          <w:bCs w:val="false"/>
          <w:i w:val="false"/>
          <w:iCs w:val="false"/>
          <w:color w:val="333333"/>
          <w:sz w:val="20"/>
          <w:szCs w:val="20"/>
        </w:rPr>
        <w:t xml:space="preserve">bg-[var(--brand-primary)]</w:t>
      </w:r>
      <w:r>
        <w:rPr>
          <w:rFonts w:ascii="Arial" w:cs="Arial" w:eastAsia="Arial" w:hAnsi="Arial"/>
          <w:b w:val="false"/>
          <w:bCs w:val="false"/>
          <w:i w:val="false"/>
          <w:iCs w:val="false"/>
          <w:color w:val="333333"/>
          <w:sz w:val="20"/>
          <w:szCs w:val="20"/>
        </w:rPr>
        <w:t xml:space="preserve">. Never mix var() in inline styles with Tailwind classes on the same element.</w:t>
      </w:r>
    </w:p>
    <w:p>
      <w:pPr>
        <w:spacing w:before="160" w:after="0"/>
      </w:pPr>
    </w:p>
    <w:p>
      <w:pPr>
        <w:pStyle w:val="Heading2"/>
      </w:pPr>
      <w:r>
        <w:rPr>
          <w:rFonts w:ascii="Arial" w:cs="Arial" w:eastAsia="Arial" w:hAnsi="Arial"/>
        </w:rPr>
        <w:t xml:space="preserve">3.8 CSS Globals Duplication</w:t>
      </w:r>
    </w:p>
    <w:p>
      <w:pPr>
        <w:spacing w:before="60" w:after="60"/>
      </w:pPr>
      <w:r>
        <w:rPr>
          <w:rFonts w:ascii="Arial" w:cs="Arial" w:eastAsia="Arial" w:hAnsi="Arial"/>
          <w:b w:val="false"/>
          <w:bCs w:val="false"/>
          <w:i w:val="false"/>
          <w:iCs w:val="false"/>
          <w:color w:val="333333"/>
          <w:sz w:val="20"/>
          <w:szCs w:val="20"/>
        </w:rPr>
        <w:t xml:space="preserve">globals.css has significant internal duplication. The color variables are defined in :root, repeated in .dark, and then referenced a third time in the @theme inline block. The height/overflow declarations for html, body, and #root repeat the same values (100vh/100dvh fallback pattern) three times. Shadow definitions contain duplicate values (shadow-2xs equals shadow-xs, shadow equals shadow-sm).</w:t>
      </w:r>
    </w:p>
    <w:p>
      <w:r>
        <w:br w:type="page"/>
      </w:r>
    </w:p>
    <w:p>
      <w:pPr>
        <w:pStyle w:val="Heading1"/>
      </w:pPr>
      <w:r>
        <w:rPr>
          <w:rFonts w:ascii="Arial" w:cs="Arial" w:eastAsia="Arial" w:hAnsi="Arial"/>
        </w:rPr>
        <w:t xml:space="preserve">4. Priority Action Plan</w:t>
      </w:r>
    </w:p>
    <w:p>
      <w:pPr>
        <w:spacing w:before="60" w:after="60"/>
      </w:pPr>
      <w:r>
        <w:rPr>
          <w:rFonts w:ascii="Arial" w:cs="Arial" w:eastAsia="Arial" w:hAnsi="Arial"/>
          <w:b w:val="false"/>
          <w:bCs w:val="false"/>
          <w:i w:val="false"/>
          <w:iCs w:val="false"/>
          <w:color w:val="333333"/>
          <w:sz w:val="20"/>
          <w:szCs w:val="20"/>
        </w:rPr>
        <w:t xml:space="preserve">The following actions are recommended before integrating the new Report Builder survey creation flow, ordered by impact: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4260"/>
        <w:gridCol w:w="1600"/>
        <w:gridCol w:w="1900"/>
      </w:tblGrid>
      <w:tr>
        <w:tc>
          <w:tcPr>
            <w:tcW w:type="dxa" w:w="50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w:t>
            </w:r>
          </w:p>
        </w:tc>
        <w:tc>
          <w:tcPr>
            <w:tcW w:type="dxa" w:w="110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Severity</w:t>
            </w:r>
          </w:p>
        </w:tc>
        <w:tc>
          <w:tcPr>
            <w:tcW w:type="dxa" w:w="426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Action</w:t>
            </w:r>
          </w:p>
        </w:tc>
        <w:tc>
          <w:tcPr>
            <w:tcW w:type="dxa" w:w="160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Est. Effort</w:t>
            </w:r>
          </w:p>
        </w:tc>
        <w:tc>
          <w:tcPr>
            <w:tcW w:type="dxa" w:w="1900"/>
            <w:tcBorders>
              <w:top w:val="single" w:color="E5E7EB" w:sz="1"/>
              <w:left w:val="single" w:color="E5E7EB" w:sz="1"/>
              <w:bottom w:val="single" w:color="E5E7EB" w:sz="1"/>
              <w:right w:val="single" w:color="E5E7EB" w:sz="1"/>
            </w:tcBorders>
            <w:shd w:fill="1A1A1A" w:val="clear"/>
            <w:tcMar>
              <w:top w:type="dxa" w:w="60"/>
              <w:left w:type="dxa" w:w="120"/>
              <w:bottom w:type="dxa" w:w="60"/>
              <w:right w:type="dxa" w:w="120"/>
            </w:tcMar>
            <w:vAlign w:val="center"/>
          </w:tcPr>
          <w:p>
            <w:pPr>
              <w:spacing w:before="0" w:after="0"/>
            </w:pPr>
            <w:r>
              <w:rPr>
                <w:rFonts w:ascii="Arial" w:cs="Arial" w:eastAsia="Arial" w:hAnsi="Arial"/>
                <w:b/>
                <w:bCs/>
                <w:color w:val="FFFFFF"/>
                <w:sz w:val="18"/>
                <w:szCs w:val="18"/>
              </w:rPr>
              <w:t xml:space="preserve">Files Affected</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1</w:t>
            </w:r>
          </w:p>
        </w:tc>
        <w:tc>
          <w:tcPr>
            <w:tcW w:type="dxa" w:w="1100"/>
            <w:tcBorders>
              <w:top w:val="single" w:color="E5E7EB" w:sz="1"/>
              <w:left w:val="single" w:color="E5E7EB" w:sz="1"/>
              <w:bottom w:val="single" w:color="E5E7EB" w:sz="1"/>
              <w:right w:val="single" w:color="E5E7EB" w:sz="1"/>
            </w:tcBorders>
            <w:shd w:fill="FEF2F2" w:val="clear"/>
            <w:tcMar>
              <w:top w:type="dxa" w:w="60"/>
              <w:left w:type="dxa" w:w="120"/>
              <w:bottom w:type="dxa" w:w="60"/>
              <w:right w:type="dxa" w:w="120"/>
            </w:tcMar>
            <w:vAlign w:val="center"/>
          </w:tcPr>
          <w:p>
            <w:pPr>
              <w:spacing w:before="0" w:after="0"/>
            </w:pPr>
            <w:r>
              <w:rPr>
                <w:rFonts w:ascii="Arial" w:cs="Arial" w:eastAsia="Arial" w:hAnsi="Arial"/>
                <w:b/>
                <w:bCs/>
                <w:color w:val="DC2626"/>
                <w:sz w:val="18"/>
                <w:szCs w:val="18"/>
              </w:rPr>
              <w:t xml:space="preserve">Critical</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Extract shared MethodFormField component from 3 Method* components</w:t>
            </w:r>
          </w:p>
        </w:tc>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4-6 hours</w:t>
            </w:r>
          </w:p>
        </w:tc>
        <w:tc>
          <w:tcPr>
            <w:tcW w:type="dxa" w:w="19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3 files</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2</w:t>
            </w:r>
          </w:p>
        </w:tc>
        <w:tc>
          <w:tcPr>
            <w:tcW w:type="dxa" w:w="1100"/>
            <w:tcBorders>
              <w:top w:val="single" w:color="E5E7EB" w:sz="1"/>
              <w:left w:val="single" w:color="E5E7EB" w:sz="1"/>
              <w:bottom w:val="single" w:color="E5E7EB" w:sz="1"/>
              <w:right w:val="single" w:color="E5E7EB" w:sz="1"/>
            </w:tcBorders>
            <w:shd w:fill="FEF2F2" w:val="clear"/>
            <w:tcMar>
              <w:top w:type="dxa" w:w="60"/>
              <w:left w:type="dxa" w:w="120"/>
              <w:bottom w:type="dxa" w:w="60"/>
              <w:right w:type="dxa" w:w="120"/>
            </w:tcMar>
            <w:vAlign w:val="center"/>
          </w:tcPr>
          <w:p>
            <w:pPr>
              <w:spacing w:before="0" w:after="0"/>
            </w:pPr>
            <w:r>
              <w:rPr>
                <w:rFonts w:ascii="Arial" w:cs="Arial" w:eastAsia="Arial" w:hAnsi="Arial"/>
                <w:b/>
                <w:bCs/>
                <w:color w:val="DC2626"/>
                <w:sz w:val="18"/>
                <w:szCs w:val="18"/>
              </w:rPr>
              <w:t xml:space="preserve">Critical</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Split researchGenerator.ts into 4 focused modules</w:t>
            </w:r>
          </w:p>
        </w:tc>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3-4 hours</w:t>
            </w:r>
          </w:p>
        </w:tc>
        <w:tc>
          <w:tcPr>
            <w:tcW w:type="dxa" w:w="19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1 file → 4</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3</w:t>
            </w:r>
          </w:p>
        </w:tc>
        <w:tc>
          <w:tcPr>
            <w:tcW w:type="dxa" w:w="1100"/>
            <w:tcBorders>
              <w:top w:val="single" w:color="E5E7EB" w:sz="1"/>
              <w:left w:val="single" w:color="E5E7EB" w:sz="1"/>
              <w:bottom w:val="single" w:color="E5E7EB" w:sz="1"/>
              <w:right w:val="single" w:color="E5E7EB" w:sz="1"/>
            </w:tcBorders>
            <w:shd w:fill="FEF2F2" w:val="clear"/>
            <w:tcMar>
              <w:top w:type="dxa" w:w="60"/>
              <w:left w:type="dxa" w:w="120"/>
              <w:bottom w:type="dxa" w:w="60"/>
              <w:right w:type="dxa" w:w="120"/>
            </w:tcMar>
            <w:vAlign w:val="center"/>
          </w:tcPr>
          <w:p>
            <w:pPr>
              <w:spacing w:before="0" w:after="0"/>
            </w:pPr>
            <w:r>
              <w:rPr>
                <w:rFonts w:ascii="Arial" w:cs="Arial" w:eastAsia="Arial" w:hAnsi="Arial"/>
                <w:b/>
                <w:bCs/>
                <w:color w:val="DC2626"/>
                <w:sz w:val="18"/>
                <w:szCs w:val="18"/>
              </w:rPr>
              <w:t xml:space="preserve">Critical</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Unify type definitions (Audience, Canvas, Report alias)</w:t>
            </w:r>
          </w:p>
        </w:tc>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2-3 hours</w:t>
            </w:r>
          </w:p>
        </w:tc>
        <w:tc>
          <w:tcPr>
            <w:tcW w:type="dxa" w:w="19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6+ files</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4</w:t>
            </w:r>
          </w:p>
        </w:tc>
        <w:tc>
          <w:tcPr>
            <w:tcW w:type="dxa" w:w="1100"/>
            <w:tcBorders>
              <w:top w:val="single" w:color="E5E7EB" w:sz="1"/>
              <w:left w:val="single" w:color="E5E7EB" w:sz="1"/>
              <w:bottom w:val="single" w:color="E5E7EB" w:sz="1"/>
              <w:right w:val="single" w:color="E5E7EB" w:sz="1"/>
            </w:tcBorders>
            <w:shd w:fill="FFF7ED" w:val="clear"/>
            <w:tcMar>
              <w:top w:type="dxa" w:w="60"/>
              <w:left w:type="dxa" w:w="120"/>
              <w:bottom w:type="dxa" w:w="60"/>
              <w:right w:type="dxa" w:w="120"/>
            </w:tcMar>
            <w:vAlign w:val="center"/>
          </w:tcPr>
          <w:p>
            <w:pPr>
              <w:spacing w:before="0" w:after="0"/>
            </w:pPr>
            <w:r>
              <w:rPr>
                <w:rFonts w:ascii="Arial" w:cs="Arial" w:eastAsia="Arial" w:hAnsi="Arial"/>
                <w:b/>
                <w:bCs/>
                <w:color w:val="EA580C"/>
                <w:sz w:val="18"/>
                <w:szCs w:val="18"/>
              </w:rPr>
              <w:t xml:space="preserve">High</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Standardize color tokens – replace all hardcoded colors with design tokens</w:t>
            </w:r>
          </w:p>
        </w:tc>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2-3 hours</w:t>
            </w:r>
          </w:p>
        </w:tc>
        <w:tc>
          <w:tcPr>
            <w:tcW w:type="dxa" w:w="19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10+ files</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5</w:t>
            </w:r>
          </w:p>
        </w:tc>
        <w:tc>
          <w:tcPr>
            <w:tcW w:type="dxa" w:w="1100"/>
            <w:tcBorders>
              <w:top w:val="single" w:color="E5E7EB" w:sz="1"/>
              <w:left w:val="single" w:color="E5E7EB" w:sz="1"/>
              <w:bottom w:val="single" w:color="E5E7EB" w:sz="1"/>
              <w:right w:val="single" w:color="E5E7EB" w:sz="1"/>
            </w:tcBorders>
            <w:shd w:fill="FFF7ED" w:val="clear"/>
            <w:tcMar>
              <w:top w:type="dxa" w:w="60"/>
              <w:left w:type="dxa" w:w="120"/>
              <w:bottom w:type="dxa" w:w="60"/>
              <w:right w:type="dxa" w:w="120"/>
            </w:tcMar>
            <w:vAlign w:val="center"/>
          </w:tcPr>
          <w:p>
            <w:pPr>
              <w:spacing w:before="0" w:after="0"/>
            </w:pPr>
            <w:r>
              <w:rPr>
                <w:rFonts w:ascii="Arial" w:cs="Arial" w:eastAsia="Arial" w:hAnsi="Arial"/>
                <w:b/>
                <w:bCs/>
                <w:color w:val="EA580C"/>
                <w:sz w:val="18"/>
                <w:szCs w:val="18"/>
              </w:rPr>
              <w:t xml:space="preserve">High</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Extract shared utilities: icon mapping, sentiment colors, brand defaults</w:t>
            </w:r>
          </w:p>
        </w:tc>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1-2 hours</w:t>
            </w:r>
          </w:p>
        </w:tc>
        <w:tc>
          <w:tcPr>
            <w:tcW w:type="dxa" w:w="19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8 files</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6</w:t>
            </w:r>
          </w:p>
        </w:tc>
        <w:tc>
          <w:tcPr>
            <w:tcW w:type="dxa" w:w="1100"/>
            <w:tcBorders>
              <w:top w:val="single" w:color="E5E7EB" w:sz="1"/>
              <w:left w:val="single" w:color="E5E7EB" w:sz="1"/>
              <w:bottom w:val="single" w:color="E5E7EB" w:sz="1"/>
              <w:right w:val="single" w:color="E5E7EB" w:sz="1"/>
            </w:tcBorders>
            <w:shd w:fill="FFF7ED" w:val="clear"/>
            <w:tcMar>
              <w:top w:type="dxa" w:w="60"/>
              <w:left w:type="dxa" w:w="120"/>
              <w:bottom w:type="dxa" w:w="60"/>
              <w:right w:type="dxa" w:w="120"/>
            </w:tcMar>
            <w:vAlign w:val="center"/>
          </w:tcPr>
          <w:p>
            <w:pPr>
              <w:spacing w:before="0" w:after="0"/>
            </w:pPr>
            <w:r>
              <w:rPr>
                <w:rFonts w:ascii="Arial" w:cs="Arial" w:eastAsia="Arial" w:hAnsi="Arial"/>
                <w:b/>
                <w:bCs/>
                <w:color w:val="EA580C"/>
                <w:sz w:val="18"/>
                <w:szCs w:val="18"/>
              </w:rPr>
              <w:t xml:space="preserve">High</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Extract useSimulation hook from App.tsx startSimulation</w:t>
            </w:r>
          </w:p>
        </w:tc>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2-3 hours</w:t>
            </w:r>
          </w:p>
        </w:tc>
        <w:tc>
          <w:tcPr>
            <w:tcW w:type="dxa" w:w="19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1 file</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7</w:t>
            </w:r>
          </w:p>
        </w:tc>
        <w:tc>
          <w:tcPr>
            <w:tcW w:type="dxa" w:w="1100"/>
            <w:tcBorders>
              <w:top w:val="single" w:color="E5E7EB" w:sz="1"/>
              <w:left w:val="single" w:color="E5E7EB" w:sz="1"/>
              <w:bottom w:val="single" w:color="E5E7EB" w:sz="1"/>
              <w:right w:val="single" w:color="E5E7EB" w:sz="1"/>
            </w:tcBorders>
            <w:shd w:fill="FFF7ED" w:val="clear"/>
            <w:tcMar>
              <w:top w:type="dxa" w:w="60"/>
              <w:left w:type="dxa" w:w="120"/>
              <w:bottom w:type="dxa" w:w="60"/>
              <w:right w:type="dxa" w:w="120"/>
            </w:tcMar>
            <w:vAlign w:val="center"/>
          </w:tcPr>
          <w:p>
            <w:pPr>
              <w:spacing w:before="0" w:after="0"/>
            </w:pPr>
            <w:r>
              <w:rPr>
                <w:rFonts w:ascii="Arial" w:cs="Arial" w:eastAsia="Arial" w:hAnsi="Arial"/>
                <w:b/>
                <w:bCs/>
                <w:color w:val="EA580C"/>
                <w:sz w:val="18"/>
                <w:szCs w:val="18"/>
              </w:rPr>
              <w:t xml:space="preserve">High</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Add form validation feedback (inline errors, field highlighting)</w:t>
            </w:r>
          </w:p>
        </w:tc>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3-4 hours</w:t>
            </w:r>
          </w:p>
        </w:tc>
        <w:tc>
          <w:tcPr>
            <w:tcW w:type="dxa" w:w="19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3 files</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8</w:t>
            </w:r>
          </w:p>
        </w:tc>
        <w:tc>
          <w:tcPr>
            <w:tcW w:type="dxa" w:w="1100"/>
            <w:tcBorders>
              <w:top w:val="single" w:color="E5E7EB" w:sz="1"/>
              <w:left w:val="single" w:color="E5E7EB" w:sz="1"/>
              <w:bottom w:val="single" w:color="E5E7EB" w:sz="1"/>
              <w:right w:val="single" w:color="E5E7EB" w:sz="1"/>
            </w:tcBorders>
            <w:shd w:fill="FFF7ED" w:val="clear"/>
            <w:tcMar>
              <w:top w:type="dxa" w:w="60"/>
              <w:left w:type="dxa" w:w="120"/>
              <w:bottom w:type="dxa" w:w="60"/>
              <w:right w:type="dxa" w:w="120"/>
            </w:tcMar>
            <w:vAlign w:val="center"/>
          </w:tcPr>
          <w:p>
            <w:pPr>
              <w:spacing w:before="0" w:after="0"/>
            </w:pPr>
            <w:r>
              <w:rPr>
                <w:rFonts w:ascii="Arial" w:cs="Arial" w:eastAsia="Arial" w:hAnsi="Arial"/>
                <w:b/>
                <w:bCs/>
                <w:color w:val="EA580C"/>
                <w:sz w:val="18"/>
                <w:szCs w:val="18"/>
              </w:rPr>
              <w:t xml:space="preserve">High</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Standardize spacing, border-radius, and button sizes</w:t>
            </w:r>
          </w:p>
        </w:tc>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2-3 hours</w:t>
            </w:r>
          </w:p>
        </w:tc>
        <w:tc>
          <w:tcPr>
            <w:tcW w:type="dxa" w:w="19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15+ files</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9</w:t>
            </w:r>
          </w:p>
        </w:tc>
        <w:tc>
          <w:tcPr>
            <w:tcW w:type="dxa" w:w="1100"/>
            <w:tcBorders>
              <w:top w:val="single" w:color="E5E7EB" w:sz="1"/>
              <w:left w:val="single" w:color="E5E7EB" w:sz="1"/>
              <w:bottom w:val="single" w:color="E5E7EB" w:sz="1"/>
              <w:right w:val="single" w:color="E5E7EB" w:sz="1"/>
            </w:tcBorders>
            <w:shd w:fill="FEFCE8" w:val="clear"/>
            <w:tcMar>
              <w:top w:type="dxa" w:w="60"/>
              <w:left w:type="dxa" w:w="120"/>
              <w:bottom w:type="dxa" w:w="60"/>
              <w:right w:type="dxa" w:w="120"/>
            </w:tcMar>
            <w:vAlign w:val="center"/>
          </w:tcPr>
          <w:p>
            <w:pPr>
              <w:spacing w:before="0" w:after="0"/>
            </w:pPr>
            <w:r>
              <w:rPr>
                <w:rFonts w:ascii="Arial" w:cs="Arial" w:eastAsia="Arial" w:hAnsi="Arial"/>
                <w:b/>
                <w:bCs/>
                <w:color w:val="CA8A04"/>
                <w:sz w:val="18"/>
                <w:szCs w:val="18"/>
              </w:rPr>
              <w:t xml:space="preserve">Medium</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Clean up globals.css – remove duplication, fix shadow values</w:t>
            </w:r>
          </w:p>
        </w:tc>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1 hour</w:t>
            </w:r>
          </w:p>
        </w:tc>
        <w:tc>
          <w:tcPr>
            <w:tcW w:type="dxa" w:w="19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1 file</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10</w:t>
            </w:r>
          </w:p>
        </w:tc>
        <w:tc>
          <w:tcPr>
            <w:tcW w:type="dxa" w:w="1100"/>
            <w:tcBorders>
              <w:top w:val="single" w:color="E5E7EB" w:sz="1"/>
              <w:left w:val="single" w:color="E5E7EB" w:sz="1"/>
              <w:bottom w:val="single" w:color="E5E7EB" w:sz="1"/>
              <w:right w:val="single" w:color="E5E7EB" w:sz="1"/>
            </w:tcBorders>
            <w:shd w:fill="FEFCE8" w:val="clear"/>
            <w:tcMar>
              <w:top w:type="dxa" w:w="60"/>
              <w:left w:type="dxa" w:w="120"/>
              <w:bottom w:type="dxa" w:w="60"/>
              <w:right w:type="dxa" w:w="120"/>
            </w:tcMar>
            <w:vAlign w:val="center"/>
          </w:tcPr>
          <w:p>
            <w:pPr>
              <w:spacing w:before="0" w:after="0"/>
            </w:pPr>
            <w:r>
              <w:rPr>
                <w:rFonts w:ascii="Arial" w:cs="Arial" w:eastAsia="Arial" w:hAnsi="Arial"/>
                <w:b/>
                <w:bCs/>
                <w:color w:val="CA8A04"/>
                <w:sz w:val="18"/>
                <w:szCs w:val="18"/>
              </w:rPr>
              <w:t xml:space="preserve">Medium</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Make clarification suggestions clickable</w:t>
            </w:r>
          </w:p>
        </w:tc>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1 hour</w:t>
            </w:r>
          </w:p>
        </w:tc>
        <w:tc>
          <w:tcPr>
            <w:tcW w:type="dxa" w:w="19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1 file</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11</w:t>
            </w:r>
          </w:p>
        </w:tc>
        <w:tc>
          <w:tcPr>
            <w:tcW w:type="dxa" w:w="1100"/>
            <w:tcBorders>
              <w:top w:val="single" w:color="E5E7EB" w:sz="1"/>
              <w:left w:val="single" w:color="E5E7EB" w:sz="1"/>
              <w:bottom w:val="single" w:color="E5E7EB" w:sz="1"/>
              <w:right w:val="single" w:color="E5E7EB" w:sz="1"/>
            </w:tcBorders>
            <w:shd w:fill="FEFCE8" w:val="clear"/>
            <w:tcMar>
              <w:top w:type="dxa" w:w="60"/>
              <w:left w:type="dxa" w:w="120"/>
              <w:bottom w:type="dxa" w:w="60"/>
              <w:right w:type="dxa" w:w="120"/>
            </w:tcMar>
            <w:vAlign w:val="center"/>
          </w:tcPr>
          <w:p>
            <w:pPr>
              <w:spacing w:before="0" w:after="0"/>
            </w:pPr>
            <w:r>
              <w:rPr>
                <w:rFonts w:ascii="Arial" w:cs="Arial" w:eastAsia="Arial" w:hAnsi="Arial"/>
                <w:b/>
                <w:bCs/>
                <w:color w:val="CA8A04"/>
                <w:sz w:val="18"/>
                <w:szCs w:val="18"/>
              </w:rPr>
              <w:t xml:space="preserve">Medium</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Centralize config: timing constants, model string, feature flags</w:t>
            </w:r>
          </w:p>
        </w:tc>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1-2 hours</w:t>
            </w:r>
          </w:p>
        </w:tc>
        <w:tc>
          <w:tcPr>
            <w:tcW w:type="dxa" w:w="19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5+ files</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12</w:t>
            </w:r>
          </w:p>
        </w:tc>
        <w:tc>
          <w:tcPr>
            <w:tcW w:type="dxa" w:w="1100"/>
            <w:tcBorders>
              <w:top w:val="single" w:color="E5E7EB" w:sz="1"/>
              <w:left w:val="single" w:color="E5E7EB" w:sz="1"/>
              <w:bottom w:val="single" w:color="E5E7EB" w:sz="1"/>
              <w:right w:val="single" w:color="E5E7EB" w:sz="1"/>
            </w:tcBorders>
            <w:shd w:fill="FEFCE8" w:val="clear"/>
            <w:tcMar>
              <w:top w:type="dxa" w:w="60"/>
              <w:left w:type="dxa" w:w="120"/>
              <w:bottom w:type="dxa" w:w="60"/>
              <w:right w:type="dxa" w:w="120"/>
            </w:tcMar>
            <w:vAlign w:val="center"/>
          </w:tcPr>
          <w:p>
            <w:pPr>
              <w:spacing w:before="0" w:after="0"/>
            </w:pPr>
            <w:r>
              <w:rPr>
                <w:rFonts w:ascii="Arial" w:cs="Arial" w:eastAsia="Arial" w:hAnsi="Arial"/>
                <w:b/>
                <w:bCs/>
                <w:color w:val="CA8A04"/>
                <w:sz w:val="18"/>
                <w:szCs w:val="18"/>
              </w:rPr>
              <w:t xml:space="preserve">Medium</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Add view state management (router or state machine) to App.tsx</w:t>
            </w:r>
          </w:p>
        </w:tc>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3-4 hours</w:t>
            </w:r>
          </w:p>
        </w:tc>
        <w:tc>
          <w:tcPr>
            <w:tcW w:type="dxa" w:w="19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2 files</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13</w:t>
            </w:r>
          </w:p>
        </w:tc>
        <w:tc>
          <w:tcPr>
            <w:tcW w:type="dxa" w:w="11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vAlign w:val="center"/>
          </w:tcPr>
          <w:p>
            <w:pPr>
              <w:spacing w:before="0" w:after="0"/>
            </w:pPr>
            <w:r>
              <w:rPr>
                <w:rFonts w:ascii="Arial" w:cs="Arial" w:eastAsia="Arial" w:hAnsi="Arial"/>
                <w:b/>
                <w:bCs/>
                <w:color w:val="2563EB"/>
                <w:sz w:val="18"/>
                <w:szCs w:val="18"/>
              </w:rPr>
              <w:t xml:space="preserve">Low</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Standardize naming conventions (handlers, state booleans, refs)</w:t>
            </w:r>
          </w:p>
        </w:tc>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2 hours</w:t>
            </w:r>
          </w:p>
        </w:tc>
        <w:tc>
          <w:tcPr>
            <w:tcW w:type="dxa" w:w="19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All files</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bCs/>
                <w:color w:val="333333"/>
                <w:sz w:val="18"/>
                <w:szCs w:val="18"/>
              </w:rPr>
              <w:t xml:space="preserve">14</w:t>
            </w:r>
          </w:p>
        </w:tc>
        <w:tc>
          <w:tcPr>
            <w:tcW w:type="dxa" w:w="11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vAlign w:val="center"/>
          </w:tcPr>
          <w:p>
            <w:pPr>
              <w:spacing w:before="0" w:after="0"/>
            </w:pPr>
            <w:r>
              <w:rPr>
                <w:rFonts w:ascii="Arial" w:cs="Arial" w:eastAsia="Arial" w:hAnsi="Arial"/>
                <w:b/>
                <w:bCs/>
                <w:color w:val="2563EB"/>
                <w:sz w:val="18"/>
                <w:szCs w:val="18"/>
              </w:rPr>
              <w:t xml:space="preserve">Low</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Add font fallbacks to tailwind.config.js, add ESLint/Prettier</w:t>
            </w:r>
          </w:p>
        </w:tc>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1 hour</w:t>
            </w:r>
          </w:p>
        </w:tc>
        <w:tc>
          <w:tcPr>
            <w:tcW w:type="dxa" w:w="19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pPr>
              <w:spacing w:before="0" w:after="0"/>
            </w:pPr>
            <w:r>
              <w:rPr>
                <w:rFonts w:ascii="Arial" w:cs="Arial" w:eastAsia="Arial" w:hAnsi="Arial"/>
                <w:b w:val="false"/>
                <w:bCs w:val="false"/>
                <w:color w:val="333333"/>
                <w:sz w:val="18"/>
                <w:szCs w:val="18"/>
              </w:rPr>
              <w:t xml:space="preserve">Config files</w:t>
            </w:r>
          </w:p>
        </w:tc>
      </w:tr>
    </w:tbl>
    <w:p>
      <w:pPr>
        <w:spacing w:before="200" w:after="0"/>
      </w:pPr>
    </w:p>
    <w:p>
      <w:pPr>
        <w:spacing w:before="60" w:after="60"/>
      </w:pPr>
      <w:r>
        <w:rPr>
          <w:rFonts w:ascii="Arial" w:cs="Arial" w:eastAsia="Arial" w:hAnsi="Arial"/>
          <w:b/>
          <w:bCs/>
          <w:i w:val="false"/>
          <w:iCs w:val="false"/>
          <w:color w:val="333333"/>
          <w:sz w:val="20"/>
          <w:szCs w:val="20"/>
        </w:rPr>
        <w:t xml:space="preserve">Total estimated effort: 26-38 hours of focused refactoring work. Items 1-3 are strongly recommended before adding the new survey creation flow, as the Report Builder will likely need similar form components and canvas generation patterns.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Electric Twin  |  Prototype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2026-02-12T07:26:12.897Z</dcterms:created>
  <dcterms:modified xsi:type="dcterms:W3CDTF">2026-02-12T07:26:12.897Z</dcterms:modified>
</cp:coreProperties>
</file>

<file path=docProps/custom.xml><?xml version="1.0" encoding="utf-8"?>
<Properties xmlns="http://schemas.openxmlformats.org/officeDocument/2006/custom-properties" xmlns:vt="http://schemas.openxmlformats.org/officeDocument/2006/docPropsVTypes"/>
</file>