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HIPAA POLICIES AND PROCEDURES</w:t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Policy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Contingency Plan Policy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ID:</w:t>
              <w:br w:type="textWrapping"/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ContingencyPlan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07202015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rev: 0.8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Approval Date: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00/00/0000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Effective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Revisited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br w:type="textWrapping"/>
              <w:t xml:space="preserve">Create a framework to build contingency planning policies and procedures in accordance with HIPAA, these policies and BAA’s and all other policies of this covered entity.</w:t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Primary Responsible Departments  and/or BAA: 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Security / Compliance</w:t>
              <w:br w:type="textWrapping"/>
              <w:br w:type="textWrapping"/>
              <w:br w:type="textWrapping"/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Review Frequency: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Last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Next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Secondary Responsible Departments and/or BAA: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Administration</w:t>
              <w:br w:type="textWrapping"/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Workforce and BAA’s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To comply with all applicable laws, regulations and our own policies this policy covers the creations of contingency planning documentation for HIPAA with a Google BAA.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Authoritative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 CFR §164.308 (a) 7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Policy 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20" w:line="324.00000980922215" w:lineRule="auto"/>
        <w:ind w:left="720" w:hanging="360"/>
        <w:contextualSpacing w:val="1"/>
        <w:rPr>
          <w:color w:val="1e2632"/>
          <w:highlight w:val="white"/>
        </w:rPr>
      </w:pPr>
      <w:r w:rsidDel="00000000" w:rsidR="00000000" w:rsidRPr="00000000">
        <w:rPr>
          <w:b w:val="1"/>
          <w:i w:val="1"/>
          <w:color w:val="1e2632"/>
          <w:highlight w:val="white"/>
          <w:rtl w:val="0"/>
        </w:rPr>
        <w:t xml:space="preserve">Data Backup Plan</w:t>
      </w:r>
      <w:r w:rsidDel="00000000" w:rsidR="00000000" w:rsidRPr="00000000">
        <w:rPr>
          <w:color w:val="1e2632"/>
          <w:highlight w:val="white"/>
          <w:rtl w:val="0"/>
        </w:rPr>
        <w:t xml:space="preserve"> – Make sure there are ways to retrieve copies of EPHI in case of a breach or malfunction.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20" w:line="324.00000980922215" w:lineRule="auto"/>
        <w:ind w:left="720" w:hanging="360"/>
        <w:contextualSpacing w:val="1"/>
        <w:rPr>
          <w:color w:val="1e2632"/>
          <w:highlight w:val="white"/>
        </w:rPr>
      </w:pPr>
      <w:r w:rsidDel="00000000" w:rsidR="00000000" w:rsidRPr="00000000">
        <w:rPr>
          <w:b w:val="1"/>
          <w:i w:val="1"/>
          <w:color w:val="1e2632"/>
          <w:highlight w:val="white"/>
          <w:rtl w:val="0"/>
        </w:rPr>
        <w:t xml:space="preserve">Disaster Recovery Plan</w:t>
      </w:r>
      <w:r w:rsidDel="00000000" w:rsidR="00000000" w:rsidRPr="00000000">
        <w:rPr>
          <w:color w:val="1e2632"/>
          <w:highlight w:val="white"/>
          <w:rtl w:val="0"/>
        </w:rPr>
        <w:t xml:space="preserve"> – We must have practical plans and procedures for restoring data lost to a reasonably foreseeable risk.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20" w:line="324.00000980922215" w:lineRule="auto"/>
        <w:ind w:left="720" w:hanging="360"/>
        <w:contextualSpacing w:val="1"/>
        <w:rPr>
          <w:color w:val="1e2632"/>
          <w:highlight w:val="white"/>
        </w:rPr>
      </w:pPr>
      <w:r w:rsidDel="00000000" w:rsidR="00000000" w:rsidRPr="00000000">
        <w:rPr>
          <w:b w:val="1"/>
          <w:i w:val="1"/>
          <w:color w:val="1e2632"/>
          <w:highlight w:val="white"/>
          <w:rtl w:val="0"/>
        </w:rPr>
        <w:t xml:space="preserve">Emergency Mode Operation Plan</w:t>
      </w:r>
      <w:r w:rsidDel="00000000" w:rsidR="00000000" w:rsidRPr="00000000">
        <w:rPr>
          <w:color w:val="1e2632"/>
          <w:highlight w:val="white"/>
          <w:rtl w:val="0"/>
        </w:rPr>
        <w:t xml:space="preserve"> – we must have plans that establish how to continue critical business operations while protecting the privacy of EPHI in emergency conditions.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20" w:line="324.00000980922215" w:lineRule="auto"/>
        <w:ind w:left="720" w:hanging="360"/>
        <w:contextualSpacing w:val="1"/>
        <w:rPr>
          <w:color w:val="1e2632"/>
          <w:highlight w:val="white"/>
        </w:rPr>
      </w:pPr>
      <w:r w:rsidDel="00000000" w:rsidR="00000000" w:rsidRPr="00000000">
        <w:rPr>
          <w:b w:val="1"/>
          <w:i w:val="1"/>
          <w:color w:val="1e2632"/>
          <w:highlight w:val="white"/>
          <w:rtl w:val="0"/>
        </w:rPr>
        <w:t xml:space="preserve">Testing and Revision Procedures</w:t>
      </w:r>
      <w:r w:rsidDel="00000000" w:rsidR="00000000" w:rsidRPr="00000000">
        <w:rPr>
          <w:color w:val="1e2632"/>
          <w:highlight w:val="white"/>
          <w:rtl w:val="0"/>
        </w:rPr>
        <w:t xml:space="preserve"> – We must have procedures to periodically test and revise contingency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20" w:line="324.00000980922215" w:lineRule="auto"/>
        <w:ind w:left="720" w:hanging="360"/>
        <w:contextualSpacing w:val="1"/>
        <w:rPr>
          <w:color w:val="1e2632"/>
          <w:highlight w:val="white"/>
        </w:rPr>
      </w:pPr>
      <w:r w:rsidDel="00000000" w:rsidR="00000000" w:rsidRPr="00000000">
        <w:rPr>
          <w:b w:val="1"/>
          <w:i w:val="1"/>
          <w:color w:val="1e2632"/>
          <w:highlight w:val="white"/>
          <w:rtl w:val="0"/>
        </w:rPr>
        <w:t xml:space="preserve">Applications and Data Criticality Analysis</w:t>
      </w:r>
      <w:r w:rsidDel="00000000" w:rsidR="00000000" w:rsidRPr="00000000">
        <w:rPr>
          <w:color w:val="1e2632"/>
          <w:highlight w:val="white"/>
          <w:rtl w:val="0"/>
        </w:rPr>
        <w:t xml:space="preserve"> – We must implement procedures to assess the relative importance of specific data and applications as part of contingency plans.</w:t>
      </w:r>
      <w:r w:rsidDel="00000000" w:rsidR="00000000" w:rsidRPr="00000000">
        <w:rPr>
          <w:b w:val="1"/>
          <w:color w:val="1e2632"/>
          <w:highlight w:val="whit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Related Policies and 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Administrative: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Security Management Root Process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Assigned Security Responsibility</w:t>
        <w:br w:type="textWrapping"/>
        <w:t xml:space="preserve">HIPAA Workforce Security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Access Management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Awareness and Training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Incident Procedures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Contingency Plan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Evaluation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Physical: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Device and Media Control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Facility Access Control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Technical: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Access Control Policy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Audit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Authentication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Workstation Use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Workstation Security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Integrity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Transmission Security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BAA’s and Other Agreements: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Business Associate and Other Agreement Policy</w:t>
        <w:br w:type="textWrapping"/>
        <w:t xml:space="preserve">Google BAA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Templates: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Policy Template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Procedure Template </w:t>
        <w:br w:type="textWrapping"/>
        <w:tab/>
        <w:t xml:space="preserve">Incident Template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