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HIPAA POLICIES AND PROCEDURES</w:t>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8"/>
                <w:szCs w:val="28"/>
                <w:rtl w:val="0"/>
              </w:rPr>
              <w:t xml:space="preserve">Policy Title: </w:t>
            </w:r>
            <w:r w:rsidDel="00000000" w:rsidR="00000000" w:rsidRPr="00000000">
              <w:rPr>
                <w:sz w:val="28"/>
                <w:szCs w:val="28"/>
                <w:rtl w:val="0"/>
              </w:rPr>
              <w:br w:type="textWrapping"/>
            </w:r>
            <w:r w:rsidDel="00000000" w:rsidR="00000000" w:rsidRPr="00000000">
              <w:rPr>
                <w:color w:val="000000"/>
                <w:sz w:val="28"/>
                <w:szCs w:val="28"/>
                <w:highlight w:val="white"/>
                <w:rtl w:val="0"/>
              </w:rPr>
              <w:t xml:space="preserve">Information Access Management Policy</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8"/>
                <w:szCs w:val="28"/>
                <w:rtl w:val="0"/>
              </w:rPr>
              <w:br w:type="textWrapping"/>
            </w:r>
            <w:r w:rsidDel="00000000" w:rsidR="00000000" w:rsidRPr="00000000">
              <w:rPr>
                <w:b w:val="1"/>
                <w:sz w:val="28"/>
                <w:szCs w:val="28"/>
                <w:rtl w:val="0"/>
              </w:rPr>
              <w:t xml:space="preserve">ID:</w:t>
              <w:br w:type="textWrapping"/>
            </w:r>
            <w:r w:rsidDel="00000000" w:rsidR="00000000" w:rsidRPr="00000000">
              <w:rPr>
                <w:color w:val="000000"/>
                <w:sz w:val="28"/>
                <w:szCs w:val="28"/>
                <w:highlight w:val="white"/>
                <w:rtl w:val="0"/>
              </w:rPr>
              <w:t xml:space="preserve">InformationAccessManagement</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color w:val="000000"/>
                <w:sz w:val="28"/>
                <w:szCs w:val="28"/>
                <w:highlight w:val="white"/>
                <w:rtl w:val="0"/>
              </w:rPr>
              <w:t xml:space="preserve">Policy</w:t>
            </w:r>
            <w:r w:rsidDel="00000000" w:rsidR="00000000" w:rsidRPr="00000000">
              <w:rPr>
                <w:b w:val="1"/>
                <w:sz w:val="18"/>
                <w:szCs w:val="18"/>
                <w:rtl w:val="0"/>
              </w:rPr>
              <w:t xml:space="preserve">07162015</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18"/>
                <w:szCs w:val="18"/>
                <w:rtl w:val="0"/>
              </w:rPr>
              <w:t xml:space="preserve">rev: 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Approval Date:</w:t>
            </w:r>
            <w:r w:rsidDel="00000000" w:rsidR="00000000" w:rsidRPr="00000000">
              <w:rPr>
                <w:rtl w:val="0"/>
              </w:rPr>
              <w:t xml:space="preserve"> </w:t>
              <w:br w:type="textWrapping"/>
              <w:t xml:space="preserve">00/00/0000</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br w:type="textWrapping"/>
            </w:r>
            <w:r w:rsidDel="00000000" w:rsidR="00000000" w:rsidRPr="00000000">
              <w:rPr>
                <w:b w:val="1"/>
                <w:rtl w:val="0"/>
              </w:rPr>
              <w:t xml:space="preserve">Effective Date: </w:t>
              <w:br w:type="textWrapping"/>
            </w:r>
            <w:r w:rsidDel="00000000" w:rsidR="00000000" w:rsidRPr="00000000">
              <w:rPr>
                <w:rtl w:val="0"/>
              </w:rPr>
              <w:t xml:space="preserve">00/00/0000</w:t>
              <w:br w:type="textWrapping"/>
              <w:br w:type="textWrapping"/>
            </w:r>
            <w:r w:rsidDel="00000000" w:rsidR="00000000" w:rsidRPr="00000000">
              <w:rPr>
                <w:b w:val="1"/>
                <w:rtl w:val="0"/>
              </w:rPr>
              <w:t xml:space="preserve">Revisited date: </w:t>
              <w:br w:type="textWrapping"/>
            </w:r>
            <w:r w:rsidDel="00000000" w:rsidR="00000000" w:rsidRPr="00000000">
              <w:rPr>
                <w:rtl w:val="0"/>
              </w:rPr>
              <w:t xml:space="preserve">00/00/0000</w:t>
            </w:r>
          </w:p>
        </w:tc>
      </w:tr>
      <w:tr>
        <w:trPr>
          <w:trHeight w:val="420" w:hRule="atLeast"/>
        </w:trPr>
        <w:tc>
          <w:tcPr>
            <w:gridSpan w:val="3"/>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Subject:</w:t>
            </w:r>
            <w:r w:rsidDel="00000000" w:rsidR="00000000" w:rsidRPr="00000000">
              <w:rPr>
                <w:rtl w:val="0"/>
              </w:rPr>
              <w:br w:type="textWrapping"/>
              <w:t xml:space="preserve">Determine the responsibility and scope of access management for electronic personal health information for this covered entity.</w:t>
              <w:br w:type="textWrapping"/>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Primary Responsible Departments  and/or BAA: </w:t>
            </w:r>
            <w:r w:rsidDel="00000000" w:rsidR="00000000" w:rsidRPr="00000000">
              <w:rPr>
                <w:rtl w:val="0"/>
              </w:rPr>
              <w:br w:type="textWrapping"/>
              <w:br w:type="textWrapping"/>
              <w:t xml:space="preserve">Security / Compliance</w:t>
              <w:br w:type="textWrapping"/>
              <w:br w:type="textWrapping"/>
              <w:br w:type="textWrapping"/>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Review Frequency:</w:t>
            </w:r>
            <w:r w:rsidDel="00000000" w:rsidR="00000000" w:rsidRPr="00000000">
              <w:rPr>
                <w:rtl w:val="0"/>
              </w:rPr>
              <w:br w:type="textWrapping"/>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Last Review:</w:t>
            </w:r>
            <w:r w:rsidDel="00000000" w:rsidR="00000000" w:rsidRPr="00000000">
              <w:rPr>
                <w:rtl w:val="0"/>
              </w:rPr>
              <w:br w:type="textWrapping"/>
              <w:t xml:space="preserve">00/00/0000</w:t>
              <w:br w:type="textWrapping"/>
            </w:r>
          </w:p>
          <w:p w:rsidR="00000000" w:rsidDel="00000000" w:rsidP="00000000" w:rsidRDefault="00000000" w:rsidRPr="00000000">
            <w:pPr>
              <w:widowControl w:val="0"/>
              <w:spacing w:line="240" w:lineRule="auto"/>
              <w:contextualSpacing w:val="0"/>
            </w:pPr>
            <w:r w:rsidDel="00000000" w:rsidR="00000000" w:rsidRPr="00000000">
              <w:rPr>
                <w:b w:val="1"/>
                <w:rtl w:val="0"/>
              </w:rPr>
              <w:t xml:space="preserve">Next Review:</w:t>
            </w:r>
            <w:r w:rsidDel="00000000" w:rsidR="00000000" w:rsidRPr="00000000">
              <w:rPr>
                <w:rtl w:val="0"/>
              </w:rPr>
              <w:br w:type="textWrapping"/>
              <w:t xml:space="preserve">00/00/0000</w:t>
              <w:br w:type="textWrapping"/>
            </w:r>
          </w:p>
        </w:tc>
      </w:tr>
      <w:tr>
        <w:trPr>
          <w:trHeight w:val="420" w:hRule="atLeast"/>
        </w:trPr>
        <w:tc>
          <w:tcPr>
            <w:gridSpan w:val="2"/>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Secondary Responsible Departments and/or BAA:</w:t>
            </w:r>
            <w:r w:rsidDel="00000000" w:rsidR="00000000" w:rsidRPr="00000000">
              <w:rPr>
                <w:rtl w:val="0"/>
              </w:rPr>
              <w:br w:type="textWrapp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Administration</w:t>
              <w:br w:type="textWrapping"/>
            </w:r>
          </w:p>
        </w:tc>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w:t>
      </w:r>
      <w:r w:rsidDel="00000000" w:rsidR="00000000" w:rsidRPr="00000000">
        <w:rPr>
          <w:rtl w:val="0"/>
        </w:rPr>
        <w:t xml:space="preserve"> Workforce</w:t>
      </w:r>
    </w:p>
    <w:p w:rsidR="00000000" w:rsidDel="00000000" w:rsidP="00000000" w:rsidRDefault="00000000" w:rsidRPr="00000000">
      <w:pPr>
        <w:contextualSpacing w:val="0"/>
      </w:pPr>
      <w:r w:rsidDel="00000000" w:rsidR="00000000" w:rsidRPr="00000000">
        <w:rPr>
          <w:rtl w:val="0"/>
        </w:rPr>
        <w:br w:type="textWrapping"/>
      </w:r>
      <w:r w:rsidDel="00000000" w:rsidR="00000000" w:rsidRPr="00000000">
        <w:rPr>
          <w:b w:val="1"/>
          <w:rtl w:val="0"/>
        </w:rPr>
        <w:t xml:space="preserve">Purpose:</w:t>
      </w:r>
      <w:r w:rsidDel="00000000" w:rsidR="00000000" w:rsidRPr="00000000">
        <w:rPr>
          <w:sz w:val="28"/>
          <w:szCs w:val="28"/>
          <w:rtl w:val="0"/>
        </w:rPr>
        <w:br w:type="textWrapping"/>
      </w:r>
      <w:r w:rsidDel="00000000" w:rsidR="00000000" w:rsidRPr="00000000">
        <w:rPr>
          <w:rtl w:val="0"/>
        </w:rPr>
        <w:t xml:space="preserve">To comply with all applicable laws, regulations and our own policies this policy covers the assigned security responsibility.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Authoritative Reference: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45 CFR §164.308 (a) 4</w:t>
        <w:br w:type="textWrapping"/>
      </w:r>
    </w:p>
    <w:p w:rsidR="00000000" w:rsidDel="00000000" w:rsidP="00000000" w:rsidRDefault="00000000" w:rsidRPr="00000000">
      <w:pPr>
        <w:contextualSpacing w:val="0"/>
      </w:pPr>
      <w:r w:rsidDel="00000000" w:rsidR="00000000" w:rsidRPr="00000000">
        <w:rPr>
          <w:b w:val="1"/>
          <w:rtl w:val="0"/>
        </w:rPr>
        <w:t xml:space="preserve">Policy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Isolating health care clearinghouse functions</w:t>
      </w:r>
      <w:r w:rsidDel="00000000" w:rsidR="00000000" w:rsidRPr="00000000">
        <w:rPr>
          <w:rtl w:val="0"/>
        </w:rPr>
        <w:t xml:space="preserve">:  This covered entity is not itself a clearinghouse and clearinghouse functions must be provided by another BAA’s to keep this framework in compliance.  See the Google BAA for additional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Access Authorization</w:t>
      </w:r>
      <w:r w:rsidDel="00000000" w:rsidR="00000000" w:rsidRPr="00000000">
        <w:rPr>
          <w:rtl w:val="0"/>
        </w:rPr>
        <w:t xml:space="preserve">: This covered entity must have policies and procedures to ensure proper access using proper controls as detailed in these policies.  For a more in depth look at specific aspects of the access authorization process see our Google BAA, Access Controls Policy, Workstation Use Policy, Facilities Access Controls Policy, Information Integrity Policy, Workforce Security Policy, Device and Media Control Policy and other related policies that establish the access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b w:val="1"/>
          <w:rtl w:val="0"/>
        </w:rPr>
        <w:t xml:space="preserve">Access establishment and modification: </w:t>
      </w:r>
      <w:r w:rsidDel="00000000" w:rsidR="00000000" w:rsidRPr="00000000">
        <w:rPr>
          <w:rtl w:val="0"/>
        </w:rPr>
        <w:t xml:space="preserve">This covered entity must have administratively feasible policies and procedures to ensure a user accessing EPHI is properly monitored and using proper methods.   For a more in depth look at specific aspects of the access establishment and modification process our Google BAA, Access Controls Policy, Workstation Use Policy, Facilities Access Controls Policy, Information Integrity Policy, Workforce Security Policy, Device and Media Control Policy and other related policies that establish the access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Related Policies and Procedures: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rtl w:val="0"/>
        </w:rPr>
        <w:t xml:space="preserve">Administrative:</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Security Management Root Process </w:t>
      </w:r>
    </w:p>
    <w:p w:rsidR="00000000" w:rsidDel="00000000" w:rsidP="00000000" w:rsidRDefault="00000000" w:rsidRPr="00000000">
      <w:pPr>
        <w:ind w:left="1440" w:firstLine="0"/>
        <w:contextualSpacing w:val="0"/>
      </w:pPr>
      <w:r w:rsidDel="00000000" w:rsidR="00000000" w:rsidRPr="00000000">
        <w:rPr>
          <w:rtl w:val="0"/>
        </w:rPr>
        <w:t xml:space="preserve">HIPAA Assigned Security Responsibility</w:t>
        <w:br w:type="textWrapping"/>
        <w:t xml:space="preserve">HIPAA Workforce Security </w:t>
      </w:r>
    </w:p>
    <w:p w:rsidR="00000000" w:rsidDel="00000000" w:rsidP="00000000" w:rsidRDefault="00000000" w:rsidRPr="00000000">
      <w:pPr>
        <w:ind w:left="1440" w:firstLine="0"/>
        <w:contextualSpacing w:val="0"/>
      </w:pPr>
      <w:r w:rsidDel="00000000" w:rsidR="00000000" w:rsidRPr="00000000">
        <w:rPr>
          <w:rtl w:val="0"/>
        </w:rPr>
        <w:t xml:space="preserve">HIPAA Information Access Management  </w:t>
      </w:r>
    </w:p>
    <w:p w:rsidR="00000000" w:rsidDel="00000000" w:rsidP="00000000" w:rsidRDefault="00000000" w:rsidRPr="00000000">
      <w:pPr>
        <w:ind w:left="1440" w:firstLine="0"/>
        <w:contextualSpacing w:val="0"/>
      </w:pPr>
      <w:r w:rsidDel="00000000" w:rsidR="00000000" w:rsidRPr="00000000">
        <w:rPr>
          <w:rtl w:val="0"/>
        </w:rPr>
        <w:t xml:space="preserve">HIPAA Security Awareness and Training </w:t>
      </w:r>
    </w:p>
    <w:p w:rsidR="00000000" w:rsidDel="00000000" w:rsidP="00000000" w:rsidRDefault="00000000" w:rsidRPr="00000000">
      <w:pPr>
        <w:ind w:left="1440" w:firstLine="0"/>
        <w:contextualSpacing w:val="0"/>
      </w:pPr>
      <w:r w:rsidDel="00000000" w:rsidR="00000000" w:rsidRPr="00000000">
        <w:rPr>
          <w:rtl w:val="0"/>
        </w:rPr>
        <w:t xml:space="preserve">HIPAA Security Incident Procedures</w:t>
      </w:r>
    </w:p>
    <w:p w:rsidR="00000000" w:rsidDel="00000000" w:rsidP="00000000" w:rsidRDefault="00000000" w:rsidRPr="00000000">
      <w:pPr>
        <w:ind w:left="1440" w:firstLine="0"/>
        <w:contextualSpacing w:val="0"/>
      </w:pPr>
      <w:r w:rsidDel="00000000" w:rsidR="00000000" w:rsidRPr="00000000">
        <w:rPr>
          <w:rtl w:val="0"/>
        </w:rPr>
        <w:t xml:space="preserve">HIPAA Contingency Plan </w:t>
      </w:r>
    </w:p>
    <w:p w:rsidR="00000000" w:rsidDel="00000000" w:rsidP="00000000" w:rsidRDefault="00000000" w:rsidRPr="00000000">
      <w:pPr>
        <w:ind w:left="1440" w:firstLine="0"/>
        <w:contextualSpacing w:val="0"/>
      </w:pPr>
      <w:r w:rsidDel="00000000" w:rsidR="00000000" w:rsidRPr="00000000">
        <w:rPr>
          <w:rtl w:val="0"/>
        </w:rPr>
        <w:t xml:space="preserve">HIPAA Evaluation </w:t>
      </w:r>
    </w:p>
    <w:p w:rsidR="00000000" w:rsidDel="00000000" w:rsidP="00000000" w:rsidRDefault="00000000" w:rsidRPr="00000000">
      <w:pPr>
        <w:ind w:left="720" w:firstLine="0"/>
        <w:contextualSpacing w:val="0"/>
      </w:pPr>
      <w:r w:rsidDel="00000000" w:rsidR="00000000" w:rsidRPr="00000000">
        <w:rPr>
          <w:b w:val="1"/>
          <w:rtl w:val="0"/>
        </w:rPr>
        <w:t xml:space="preserve">Physical: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 HIPAA Device and Media Control Policy</w:t>
      </w:r>
    </w:p>
    <w:p w:rsidR="00000000" w:rsidDel="00000000" w:rsidP="00000000" w:rsidRDefault="00000000" w:rsidRPr="00000000">
      <w:pPr>
        <w:ind w:left="720" w:firstLine="720"/>
        <w:contextualSpacing w:val="0"/>
      </w:pPr>
      <w:r w:rsidDel="00000000" w:rsidR="00000000" w:rsidRPr="00000000">
        <w:rPr>
          <w:rtl w:val="0"/>
        </w:rPr>
        <w:t xml:space="preserve"> HIPAA Facility Access Control Policy</w:t>
      </w:r>
    </w:p>
    <w:p w:rsidR="00000000" w:rsidDel="00000000" w:rsidP="00000000" w:rsidRDefault="00000000" w:rsidRPr="00000000">
      <w:pPr>
        <w:ind w:left="720" w:firstLine="0"/>
        <w:contextualSpacing w:val="0"/>
      </w:pPr>
      <w:r w:rsidDel="00000000" w:rsidR="00000000" w:rsidRPr="00000000">
        <w:rPr>
          <w:b w:val="1"/>
          <w:rtl w:val="0"/>
        </w:rPr>
        <w:t xml:space="preserve">Technical:</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HIPAA Access Control Policy</w:t>
        <w:tab/>
      </w:r>
    </w:p>
    <w:p w:rsidR="00000000" w:rsidDel="00000000" w:rsidP="00000000" w:rsidRDefault="00000000" w:rsidRPr="00000000">
      <w:pPr>
        <w:ind w:left="720" w:firstLine="720"/>
        <w:contextualSpacing w:val="0"/>
      </w:pPr>
      <w:r w:rsidDel="00000000" w:rsidR="00000000" w:rsidRPr="00000000">
        <w:rPr>
          <w:rtl w:val="0"/>
        </w:rPr>
        <w:t xml:space="preserve">HIPAA Audit Policy</w:t>
      </w:r>
    </w:p>
    <w:p w:rsidR="00000000" w:rsidDel="00000000" w:rsidP="00000000" w:rsidRDefault="00000000" w:rsidRPr="00000000">
      <w:pPr>
        <w:ind w:left="720" w:firstLine="720"/>
        <w:contextualSpacing w:val="0"/>
      </w:pPr>
      <w:r w:rsidDel="00000000" w:rsidR="00000000" w:rsidRPr="00000000">
        <w:rPr>
          <w:rtl w:val="0"/>
        </w:rPr>
        <w:t xml:space="preserve">HIPAA Authentication Policy</w:t>
      </w:r>
    </w:p>
    <w:p w:rsidR="00000000" w:rsidDel="00000000" w:rsidP="00000000" w:rsidRDefault="00000000" w:rsidRPr="00000000">
      <w:pPr>
        <w:ind w:left="720" w:firstLine="720"/>
        <w:contextualSpacing w:val="0"/>
      </w:pPr>
      <w:r w:rsidDel="00000000" w:rsidR="00000000" w:rsidRPr="00000000">
        <w:rPr>
          <w:rtl w:val="0"/>
        </w:rPr>
        <w:t xml:space="preserve">HIPAA Workstation Use Policy</w:t>
      </w:r>
    </w:p>
    <w:p w:rsidR="00000000" w:rsidDel="00000000" w:rsidP="00000000" w:rsidRDefault="00000000" w:rsidRPr="00000000">
      <w:pPr>
        <w:ind w:left="1440" w:firstLine="0"/>
        <w:contextualSpacing w:val="0"/>
      </w:pPr>
      <w:r w:rsidDel="00000000" w:rsidR="00000000" w:rsidRPr="00000000">
        <w:rPr>
          <w:rtl w:val="0"/>
        </w:rPr>
        <w:t xml:space="preserve">HIPAA Workstation Security Policy</w:t>
      </w:r>
    </w:p>
    <w:p w:rsidR="00000000" w:rsidDel="00000000" w:rsidP="00000000" w:rsidRDefault="00000000" w:rsidRPr="00000000">
      <w:pPr>
        <w:ind w:left="1440" w:firstLine="0"/>
        <w:contextualSpacing w:val="0"/>
      </w:pPr>
      <w:r w:rsidDel="00000000" w:rsidR="00000000" w:rsidRPr="00000000">
        <w:rPr>
          <w:rtl w:val="0"/>
        </w:rPr>
        <w:t xml:space="preserve">HIPAA Information Integrity Policy</w:t>
      </w:r>
    </w:p>
    <w:p w:rsidR="00000000" w:rsidDel="00000000" w:rsidP="00000000" w:rsidRDefault="00000000" w:rsidRPr="00000000">
      <w:pPr>
        <w:ind w:left="1440" w:firstLine="0"/>
        <w:contextualSpacing w:val="0"/>
      </w:pPr>
      <w:r w:rsidDel="00000000" w:rsidR="00000000" w:rsidRPr="00000000">
        <w:rPr>
          <w:rtl w:val="0"/>
        </w:rPr>
        <w:t xml:space="preserve">HIPAA Transmission Security Policy</w:t>
      </w:r>
    </w:p>
    <w:p w:rsidR="00000000" w:rsidDel="00000000" w:rsidP="00000000" w:rsidRDefault="00000000" w:rsidRPr="00000000">
      <w:pPr>
        <w:ind w:left="720" w:firstLine="0"/>
        <w:contextualSpacing w:val="0"/>
      </w:pPr>
      <w:r w:rsidDel="00000000" w:rsidR="00000000" w:rsidRPr="00000000">
        <w:rPr>
          <w:b w:val="1"/>
          <w:rtl w:val="0"/>
        </w:rPr>
        <w:t xml:space="preserve">BAA’s and Other Agreements: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HIPAA Business Associate and Other Agreement Policy</w:t>
        <w:br w:type="textWrapping"/>
        <w:t xml:space="preserve">Google BAA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