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r>
            <w:r w:rsidDel="00000000" w:rsidR="00000000" w:rsidRPr="00000000">
              <w:rPr>
                <w:color w:val="000000"/>
                <w:sz w:val="28"/>
                <w:szCs w:val="28"/>
                <w:highlight w:val="white"/>
                <w:rtl w:val="0"/>
              </w:rPr>
              <w:t xml:space="preserve">Security Incident Procedures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br w:type="textWrapping"/>
            </w:r>
            <w:r w:rsidDel="00000000" w:rsidR="00000000" w:rsidRPr="00000000">
              <w:rPr>
                <w:b w:val="1"/>
                <w:sz w:val="28"/>
                <w:szCs w:val="28"/>
                <w:rtl w:val="0"/>
              </w:rPr>
              <w:t xml:space="preserve">ID:</w:t>
              <w:br w:type="textWrapping"/>
            </w:r>
            <w:r w:rsidDel="00000000" w:rsidR="00000000" w:rsidRPr="00000000">
              <w:rPr>
                <w:color w:val="000000"/>
                <w:sz w:val="28"/>
                <w:szCs w:val="28"/>
                <w:highlight w:val="white"/>
                <w:rtl w:val="0"/>
              </w:rPr>
              <w:t xml:space="preserve">SecurityIncidentProcedures</w:t>
            </w:r>
            <w:r w:rsidDel="00000000" w:rsidR="00000000" w:rsidRPr="00000000">
              <w:rPr>
                <w:b w:val="1"/>
                <w:sz w:val="18"/>
                <w:szCs w:val="18"/>
                <w:rtl w:val="0"/>
              </w:rPr>
              <w:t xml:space="preserve">07202015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 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Determine the root security responsibility for these policies.</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br w:type="textWrapping"/>
              <w:t xml:space="preserve">Security / Compliance</w:t>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Administration</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Workforce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To comply with all applicable laws, regulations and our own policies this policy explains how to implement policies and procedures to address security incidents.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§164.308 (a) 6</w:t>
        <w:br w:type="textWrapping"/>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Response and Reporting:</w:t>
      </w:r>
      <w:r w:rsidDel="00000000" w:rsidR="00000000" w:rsidRPr="00000000">
        <w:rPr>
          <w:rtl w:val="0"/>
        </w:rPr>
        <w:t xml:space="preserve">  Risks and threats must be identified using these policies and all other resources available to this covered entity to identify and mitigate to the extent practicable all reasonably foreseeable known and suspected risks.  Data under the Google BAA administered in accordance with these policies provides administrative tools and safeguards for EPHI response.  Also, Please also refer to the HIPAA Audit Compliance Kit included as part of this framework for further guidance, tools and templates for addressing the determination and response and reporting of Incidents.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Documents: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