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Assigned Security Responsibility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AssignedSecurityResponsibility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07132015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br w:type="textWrapping"/>
              <w:t xml:space="preserve">Determine the statutory security responsibility for these policies.</w:t>
              <w:br w:type="textWrapping"/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Security / Compliance</w:t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Administration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Workforce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the assigned security responsibility.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CFR §164.308 (a) 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Security Responsibility:</w:t>
      </w:r>
      <w:r w:rsidDel="00000000" w:rsidR="00000000" w:rsidRPr="00000000">
        <w:rPr>
          <w:rtl w:val="0"/>
        </w:rPr>
        <w:t xml:space="preserve"> The party responsible for ensuring compliance with these and other policies and the underlying statutes.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Chief Compliance Officer or closest associated position is the root responsible security official for the development, review and enforcement of these policies to the extent administratively feasible.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