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HIPAA POLICIES AND PROCEDURES</w:t>
      </w:r>
    </w:p>
    <w:tbl>
      <w:tblPr>
        <w:tblStyle w:val="Table1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Policy Title: </w:t>
            </w:r>
            <w:r w:rsidDel="00000000" w:rsidR="00000000" w:rsidRPr="00000000">
              <w:rPr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Workforce Security Policy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ID:</w:t>
              <w:br w:type="textWrapping"/>
            </w: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WorkforceSecurity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07142015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rev: 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Approval Date:</w:t>
            </w:r>
            <w:r w:rsidDel="00000000" w:rsidR="00000000" w:rsidRPr="00000000">
              <w:rPr>
                <w:rtl w:val="0"/>
              </w:rPr>
              <w:t xml:space="preserve"> </w:t>
              <w:br w:type="textWrapping"/>
              <w:t xml:space="preserve">00/00/0000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Effective Date: </w:t>
              <w:br w:type="textWrapping"/>
            </w:r>
            <w:r w:rsidDel="00000000" w:rsidR="00000000" w:rsidRPr="00000000">
              <w:rPr>
                <w:rtl w:val="0"/>
              </w:rPr>
              <w:t xml:space="preserve">00/00/0000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Revisited date: </w:t>
              <w:br w:type="textWrapping"/>
            </w:r>
            <w:r w:rsidDel="00000000" w:rsidR="00000000" w:rsidRPr="00000000">
              <w:rPr>
                <w:rtl w:val="0"/>
              </w:rPr>
              <w:t xml:space="preserve">00/00/0000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Subject:</w:t>
            </w:r>
            <w:r w:rsidDel="00000000" w:rsidR="00000000" w:rsidRPr="00000000">
              <w:rPr>
                <w:rtl w:val="0"/>
              </w:rPr>
              <w:br w:type="textWrapping"/>
              <w:t xml:space="preserve">Policy for the clearance, supervisions and termination of our workforce in a secure manner with relation to PHI and EPHI.</w:t>
              <w:br w:type="textWrapping"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Primary Responsible Departments  and/or BAA: </w:t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Security / Compliance</w:t>
              <w:br w:type="textWrapping"/>
              <w:br w:type="textWrapping"/>
              <w:br w:type="textWrapping"/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Review Frequency: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Last Review:</w:t>
            </w:r>
            <w:r w:rsidDel="00000000" w:rsidR="00000000" w:rsidRPr="00000000">
              <w:rPr>
                <w:rtl w:val="0"/>
              </w:rPr>
              <w:br w:type="textWrapping"/>
              <w:t xml:space="preserve">00/00/0000</w:t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Next Review:</w:t>
            </w:r>
            <w:r w:rsidDel="00000000" w:rsidR="00000000" w:rsidRPr="00000000">
              <w:rPr>
                <w:rtl w:val="0"/>
              </w:rPr>
              <w:br w:type="textWrapping"/>
              <w:t xml:space="preserve">00/00/0000</w:t>
              <w:br w:type="textWrapping"/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Secondary Responsible Departments and/or BAA: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Administration</w:t>
              <w:br w:type="textWrapping"/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Workforce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To comply with all applicable laws, regulations and our own policies this policy covers the assigned security responsibility.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Authoritative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45 CFR §164.308 (a) 3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Policy Definitions: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Authorization and Supervision:</w:t>
      </w:r>
      <w:r w:rsidDel="00000000" w:rsidR="00000000" w:rsidRPr="00000000">
        <w:rPr>
          <w:rtl w:val="0"/>
        </w:rPr>
        <w:t xml:space="preserve"> Workforce members must adhere to these policies and procedures to ensure proper authorization and supervision / monitoring takes place while interacting with electronic personal health information (EPHI).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Workforce Clearance Procedure:</w:t>
      </w:r>
      <w:r w:rsidDel="00000000" w:rsidR="00000000" w:rsidRPr="00000000">
        <w:rPr>
          <w:rtl w:val="0"/>
        </w:rPr>
        <w:t xml:space="preserve"> Workforce members that interact with EPHI must undergo an administratively feasible background check and review process prior to interacting with EPHI on behalf of this Covered Entity (CE).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Termination Procedure:  </w:t>
      </w:r>
      <w:r w:rsidDel="00000000" w:rsidR="00000000" w:rsidRPr="00000000">
        <w:rPr>
          <w:rtl w:val="0"/>
        </w:rPr>
        <w:t xml:space="preserve">Workforce members, upon termination must have access to PHI/EPHI and other sensitive materials tied to their unique user identifier (UUID) immediately and completely revoked.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Related Policies and Procedures: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Administrative: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Security Management Root Process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Assigned Security Responsibility</w:t>
        <w:br w:type="textWrapping"/>
        <w:t xml:space="preserve">HIPAA Workforce Security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Information Access Management 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Security Awareness and Training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Security Incident Procedures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Contingency Plan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Evaluation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Physical: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 HIPAA Device and Media Control Policy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 HIPAA Facility Access Control Policy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Technical: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Access Control Policy</w:t>
        <w:tab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Audit Policy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Authentication Policy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HIPAA Workstation Use Policy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Workstation Security Policy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Information Integrity Policy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Transmission Security Policy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BAA’s and Other Agreements: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HIPAA Business Associate and Other Agreement Policy</w:t>
        <w:br w:type="textWrapping"/>
        <w:t xml:space="preserve">Google BAA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