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HIPAA POLICIES AND PROCEDURES</w:t>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Policy Title: </w:t>
            </w:r>
            <w:r w:rsidDel="00000000" w:rsidR="00000000" w:rsidRPr="00000000">
              <w:rPr>
                <w:sz w:val="28"/>
                <w:szCs w:val="28"/>
                <w:rtl w:val="0"/>
              </w:rPr>
              <w:br w:type="textWrapping"/>
              <w:t xml:space="preserve">Business Associate Agreement (BAA) Policy</w:t>
              <w:br w:type="textWrapping"/>
              <w:br w:type="textWrapping"/>
            </w:r>
            <w:r w:rsidDel="00000000" w:rsidR="00000000" w:rsidRPr="00000000">
              <w:rPr>
                <w:b w:val="1"/>
                <w:sz w:val="28"/>
                <w:szCs w:val="28"/>
                <w:rtl w:val="0"/>
              </w:rPr>
              <w:t xml:space="preserve">ID:</w:t>
              <w:br w:type="textWrapping"/>
            </w:r>
            <w:r w:rsidDel="00000000" w:rsidR="00000000" w:rsidRPr="00000000">
              <w:rPr>
                <w:b w:val="1"/>
                <w:sz w:val="20"/>
                <w:szCs w:val="20"/>
                <w:rtl w:val="0"/>
              </w:rPr>
              <w:t xml:space="preserve">BusinessAssociateAgreement06252015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rev0.8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Approval Date:</w:t>
            </w:r>
            <w:r w:rsidDel="00000000" w:rsidR="00000000" w:rsidRPr="00000000">
              <w:rPr>
                <w:rtl w:val="0"/>
              </w:rPr>
              <w:t xml:space="preserve"> </w:t>
              <w:br w:type="textWrapping"/>
              <w:t xml:space="preserve">00/00/0000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br w:type="textWrapping"/>
            </w:r>
            <w:r w:rsidDel="00000000" w:rsidR="00000000" w:rsidRPr="00000000">
              <w:rPr>
                <w:b w:val="1"/>
                <w:rtl w:val="0"/>
              </w:rPr>
              <w:t xml:space="preserve">Effective Date: </w:t>
              <w:br w:type="textWrapping"/>
            </w:r>
            <w:r w:rsidDel="00000000" w:rsidR="00000000" w:rsidRPr="00000000">
              <w:rPr>
                <w:rtl w:val="0"/>
              </w:rPr>
              <w:t xml:space="preserve">00/00/0000</w:t>
              <w:br w:type="textWrapping"/>
              <w:br w:type="textWrapping"/>
            </w:r>
            <w:r w:rsidDel="00000000" w:rsidR="00000000" w:rsidRPr="00000000">
              <w:rPr>
                <w:b w:val="1"/>
                <w:rtl w:val="0"/>
              </w:rPr>
              <w:t xml:space="preserve">Revisited date: </w:t>
              <w:br w:type="textWrapping"/>
            </w:r>
            <w:r w:rsidDel="00000000" w:rsidR="00000000" w:rsidRPr="00000000">
              <w:rPr>
                <w:rtl w:val="0"/>
              </w:rPr>
              <w:t xml:space="preserve">00/00/0000</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Subject:</w:t>
            </w:r>
            <w:r w:rsidDel="00000000" w:rsidR="00000000" w:rsidRPr="00000000">
              <w:rPr>
                <w:rtl w:val="0"/>
              </w:rPr>
              <w:br w:type="textWrapping"/>
              <w:t xml:space="preserve">Business Associate Agreements and compliant alternate arrangements policy</w:t>
              <w:br w:type="textWrapping"/>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Primary Responsible Departments  and/or BAA: </w:t>
            </w:r>
            <w:r w:rsidDel="00000000" w:rsidR="00000000" w:rsidRPr="00000000">
              <w:rPr>
                <w:rtl w:val="0"/>
              </w:rPr>
              <w:br w:type="textWrapping"/>
              <w:t xml:space="preserve">Google BAA, Security and Compliance, Administration</w:t>
              <w:br w:type="textWrapping"/>
              <w:br w:type="textWrapping"/>
              <w:br w:type="textWrapping"/>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Review Frequency:</w:t>
            </w:r>
            <w:r w:rsidDel="00000000" w:rsidR="00000000" w:rsidRPr="00000000">
              <w:rPr>
                <w:rtl w:val="0"/>
              </w:rPr>
              <w:br w:type="textWrapp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Last Review:</w:t>
            </w:r>
            <w:r w:rsidDel="00000000" w:rsidR="00000000" w:rsidRPr="00000000">
              <w:rPr>
                <w:rtl w:val="0"/>
              </w:rPr>
              <w:br w:type="textWrapping"/>
              <w:t xml:space="preserve">00/00/0000</w:t>
              <w:br w:type="textWrapping"/>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Next Review:</w:t>
            </w:r>
            <w:r w:rsidDel="00000000" w:rsidR="00000000" w:rsidRPr="00000000">
              <w:rPr>
                <w:rtl w:val="0"/>
              </w:rPr>
              <w:br w:type="textWrapping"/>
              <w:t xml:space="preserve">00/00/0000</w:t>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Secondary Responsible Departments and/or BAA:</w:t>
            </w:r>
            <w:r w:rsidDel="00000000" w:rsidR="00000000" w:rsidRPr="00000000">
              <w:rPr>
                <w:rtl w:val="0"/>
              </w:rPr>
              <w:br w:type="textWrapping"/>
              <w:t xml:space="preserve">IT / Monitoring</w:t>
              <w:br w:type="textWrapping"/>
              <w:br w:type="textWrapping"/>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Workforce and BAA’s in the electronic personal health care (EPHI)</w:t>
      </w: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w:t>
      </w:r>
      <w:r w:rsidDel="00000000" w:rsidR="00000000" w:rsidRPr="00000000">
        <w:rPr>
          <w:sz w:val="28"/>
          <w:szCs w:val="28"/>
          <w:rtl w:val="0"/>
        </w:rPr>
        <w:br w:type="textWrapping"/>
      </w:r>
      <w:r w:rsidDel="00000000" w:rsidR="00000000" w:rsidRPr="00000000">
        <w:rPr>
          <w:rtl w:val="0"/>
        </w:rPr>
        <w:t xml:space="preserve">To ensure the policies and agreements of all BAA’s and the like is compliant with all applicable law, regulations and our own policies.</w:t>
      </w: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Authoritative Reference: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HIPAA §164.308(b)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Policy Definitions: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As per §164.306, a Business Associate is granted license to transmit, store or otherwise interact with EPHI on our behalf only if they are in accordance with §164.314(a),  §164.306, this policy and all other applicable law and regulation ensuring compliance and all appropriate safeguards and record keeping.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A written contract or other binding arrangement format is required per §164.308(8)(4) (See the individual Business Associate Agreement for specific case by case contrats).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We will document the satisfactory assurances of this compliance and these safeguards through a written contract or other arrangement in compliance with the record keeping policies with each business associate.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If we violate the satisfactory assurances we have provided as a business associate of another covered entity we will be in noncompliance with the requirements of the HIPAA regulation.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Violations: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individual, found to have violated this policy, may be subject to disciplinary action up to and including termination of employment.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Policies and Procedures: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Administrative: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Security Management Root Process </w:t>
      </w:r>
    </w:p>
    <w:p w:rsidR="00000000" w:rsidDel="00000000" w:rsidP="00000000" w:rsidRDefault="00000000" w:rsidRPr="00000000">
      <w:pPr>
        <w:ind w:left="1440" w:firstLine="0"/>
        <w:contextualSpacing w:val="0"/>
      </w:pPr>
      <w:r w:rsidDel="00000000" w:rsidR="00000000" w:rsidRPr="00000000">
        <w:rPr>
          <w:rtl w:val="0"/>
        </w:rPr>
        <w:t xml:space="preserve">HIPAA Assigned Security Responsibility</w:t>
        <w:br w:type="textWrapping"/>
        <w:t xml:space="preserve">HIPAA Workforce Security </w:t>
      </w:r>
    </w:p>
    <w:p w:rsidR="00000000" w:rsidDel="00000000" w:rsidP="00000000" w:rsidRDefault="00000000" w:rsidRPr="00000000">
      <w:pPr>
        <w:ind w:left="1440" w:firstLine="0"/>
        <w:contextualSpacing w:val="0"/>
      </w:pPr>
      <w:r w:rsidDel="00000000" w:rsidR="00000000" w:rsidRPr="00000000">
        <w:rPr>
          <w:rtl w:val="0"/>
        </w:rPr>
        <w:t xml:space="preserve">HIPAA Information Access Management  </w:t>
      </w:r>
    </w:p>
    <w:p w:rsidR="00000000" w:rsidDel="00000000" w:rsidP="00000000" w:rsidRDefault="00000000" w:rsidRPr="00000000">
      <w:pPr>
        <w:ind w:left="1440" w:firstLine="0"/>
        <w:contextualSpacing w:val="0"/>
      </w:pPr>
      <w:r w:rsidDel="00000000" w:rsidR="00000000" w:rsidRPr="00000000">
        <w:rPr>
          <w:rtl w:val="0"/>
        </w:rPr>
        <w:t xml:space="preserve">HIPAA Security Awareness and Training </w:t>
      </w:r>
    </w:p>
    <w:p w:rsidR="00000000" w:rsidDel="00000000" w:rsidP="00000000" w:rsidRDefault="00000000" w:rsidRPr="00000000">
      <w:pPr>
        <w:ind w:left="1440" w:firstLine="0"/>
        <w:contextualSpacing w:val="0"/>
      </w:pPr>
      <w:r w:rsidDel="00000000" w:rsidR="00000000" w:rsidRPr="00000000">
        <w:rPr>
          <w:rtl w:val="0"/>
        </w:rPr>
        <w:t xml:space="preserve">HIPAA Security Incident Procedures</w:t>
      </w:r>
    </w:p>
    <w:p w:rsidR="00000000" w:rsidDel="00000000" w:rsidP="00000000" w:rsidRDefault="00000000" w:rsidRPr="00000000">
      <w:pPr>
        <w:ind w:left="1440" w:firstLine="0"/>
        <w:contextualSpacing w:val="0"/>
      </w:pPr>
      <w:r w:rsidDel="00000000" w:rsidR="00000000" w:rsidRPr="00000000">
        <w:rPr>
          <w:rtl w:val="0"/>
        </w:rPr>
        <w:t xml:space="preserve">HIPAA Contingency Plan </w:t>
      </w:r>
    </w:p>
    <w:p w:rsidR="00000000" w:rsidDel="00000000" w:rsidP="00000000" w:rsidRDefault="00000000" w:rsidRPr="00000000">
      <w:pPr>
        <w:ind w:left="1440" w:firstLine="0"/>
        <w:contextualSpacing w:val="0"/>
      </w:pPr>
      <w:r w:rsidDel="00000000" w:rsidR="00000000" w:rsidRPr="00000000">
        <w:rPr>
          <w:rtl w:val="0"/>
        </w:rPr>
        <w:t xml:space="preserve">HIPAA Evaluation </w:t>
      </w:r>
    </w:p>
    <w:p w:rsidR="00000000" w:rsidDel="00000000" w:rsidP="00000000" w:rsidRDefault="00000000" w:rsidRPr="00000000">
      <w:pPr>
        <w:ind w:left="720" w:firstLine="0"/>
        <w:contextualSpacing w:val="0"/>
      </w:pPr>
      <w:r w:rsidDel="00000000" w:rsidR="00000000" w:rsidRPr="00000000">
        <w:rPr>
          <w:b w:val="1"/>
          <w:rtl w:val="0"/>
        </w:rPr>
        <w:t xml:space="preserve">Physical: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 HIPAA Device and Media Control Policy</w:t>
      </w:r>
    </w:p>
    <w:p w:rsidR="00000000" w:rsidDel="00000000" w:rsidP="00000000" w:rsidRDefault="00000000" w:rsidRPr="00000000">
      <w:pPr>
        <w:ind w:left="720" w:firstLine="720"/>
        <w:contextualSpacing w:val="0"/>
      </w:pPr>
      <w:r w:rsidDel="00000000" w:rsidR="00000000" w:rsidRPr="00000000">
        <w:rPr>
          <w:rtl w:val="0"/>
        </w:rPr>
        <w:t xml:space="preserve"> HIPAA Facility Access Control Policy</w:t>
      </w:r>
    </w:p>
    <w:p w:rsidR="00000000" w:rsidDel="00000000" w:rsidP="00000000" w:rsidRDefault="00000000" w:rsidRPr="00000000">
      <w:pPr>
        <w:ind w:left="720" w:firstLine="0"/>
        <w:contextualSpacing w:val="0"/>
      </w:pPr>
      <w:r w:rsidDel="00000000" w:rsidR="00000000" w:rsidRPr="00000000">
        <w:rPr>
          <w:b w:val="1"/>
          <w:rtl w:val="0"/>
        </w:rPr>
        <w:t xml:space="preserve">Technical: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Access Control Policy</w:t>
        <w:tab/>
      </w:r>
    </w:p>
    <w:p w:rsidR="00000000" w:rsidDel="00000000" w:rsidP="00000000" w:rsidRDefault="00000000" w:rsidRPr="00000000">
      <w:pPr>
        <w:ind w:left="720" w:firstLine="720"/>
        <w:contextualSpacing w:val="0"/>
      </w:pPr>
      <w:r w:rsidDel="00000000" w:rsidR="00000000" w:rsidRPr="00000000">
        <w:rPr>
          <w:rtl w:val="0"/>
        </w:rPr>
        <w:t xml:space="preserve">HIPAA Audit Policy</w:t>
      </w:r>
    </w:p>
    <w:p w:rsidR="00000000" w:rsidDel="00000000" w:rsidP="00000000" w:rsidRDefault="00000000" w:rsidRPr="00000000">
      <w:pPr>
        <w:ind w:left="720" w:firstLine="720"/>
        <w:contextualSpacing w:val="0"/>
      </w:pPr>
      <w:r w:rsidDel="00000000" w:rsidR="00000000" w:rsidRPr="00000000">
        <w:rPr>
          <w:rtl w:val="0"/>
        </w:rPr>
        <w:t xml:space="preserve">HIPAA Authentication Policy</w:t>
      </w:r>
    </w:p>
    <w:p w:rsidR="00000000" w:rsidDel="00000000" w:rsidP="00000000" w:rsidRDefault="00000000" w:rsidRPr="00000000">
      <w:pPr>
        <w:ind w:left="720" w:firstLine="720"/>
        <w:contextualSpacing w:val="0"/>
      </w:pPr>
      <w:r w:rsidDel="00000000" w:rsidR="00000000" w:rsidRPr="00000000">
        <w:rPr>
          <w:rtl w:val="0"/>
        </w:rPr>
        <w:t xml:space="preserve">HIPAA Workstation Use Policy</w:t>
      </w:r>
    </w:p>
    <w:p w:rsidR="00000000" w:rsidDel="00000000" w:rsidP="00000000" w:rsidRDefault="00000000" w:rsidRPr="00000000">
      <w:pPr>
        <w:ind w:left="1440" w:firstLine="0"/>
        <w:contextualSpacing w:val="0"/>
      </w:pPr>
      <w:r w:rsidDel="00000000" w:rsidR="00000000" w:rsidRPr="00000000">
        <w:rPr>
          <w:rtl w:val="0"/>
        </w:rPr>
        <w:t xml:space="preserve">HIPAA Workstation Security Policy</w:t>
      </w:r>
    </w:p>
    <w:p w:rsidR="00000000" w:rsidDel="00000000" w:rsidP="00000000" w:rsidRDefault="00000000" w:rsidRPr="00000000">
      <w:pPr>
        <w:ind w:left="1440" w:firstLine="0"/>
        <w:contextualSpacing w:val="0"/>
      </w:pPr>
      <w:r w:rsidDel="00000000" w:rsidR="00000000" w:rsidRPr="00000000">
        <w:rPr>
          <w:rtl w:val="0"/>
        </w:rPr>
        <w:t xml:space="preserve">HIPAA Information Integrity Policy</w:t>
      </w:r>
    </w:p>
    <w:p w:rsidR="00000000" w:rsidDel="00000000" w:rsidP="00000000" w:rsidRDefault="00000000" w:rsidRPr="00000000">
      <w:pPr>
        <w:ind w:left="1440" w:firstLine="0"/>
        <w:contextualSpacing w:val="0"/>
      </w:pPr>
      <w:r w:rsidDel="00000000" w:rsidR="00000000" w:rsidRPr="00000000">
        <w:rPr>
          <w:rtl w:val="0"/>
        </w:rPr>
        <w:t xml:space="preserve">HIPAA Transmission Security Policy</w:t>
      </w:r>
    </w:p>
    <w:p w:rsidR="00000000" w:rsidDel="00000000" w:rsidP="00000000" w:rsidRDefault="00000000" w:rsidRPr="00000000">
      <w:pPr>
        <w:ind w:left="720" w:firstLine="0"/>
        <w:contextualSpacing w:val="0"/>
      </w:pPr>
      <w:r w:rsidDel="00000000" w:rsidR="00000000" w:rsidRPr="00000000">
        <w:rPr>
          <w:b w:val="1"/>
          <w:rtl w:val="0"/>
        </w:rPr>
        <w:t xml:space="preserve">BAA’s and Other Agreements: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HIPAA Business Associate and Other Agreement Policy</w:t>
        <w:br w:type="textWrapping"/>
        <w:t xml:space="preserve">Google BAA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