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t xml:space="preserve">Facility Access Controls</w:t>
              <w:br w:type="textWrapping"/>
            </w:r>
            <w:r w:rsidDel="00000000" w:rsidR="00000000" w:rsidRPr="00000000">
              <w:rPr>
                <w:b w:val="1"/>
                <w:sz w:val="28"/>
                <w:szCs w:val="28"/>
                <w:rtl w:val="0"/>
              </w:rPr>
              <w:t xml:space="preserve">ID:</w:t>
              <w:br w:type="textWrapping"/>
            </w:r>
            <w:r w:rsidDel="00000000" w:rsidR="00000000" w:rsidRPr="00000000">
              <w:rPr>
                <w:b w:val="1"/>
                <w:sz w:val="18"/>
                <w:szCs w:val="18"/>
                <w:rtl w:val="0"/>
              </w:rPr>
              <w:t xml:space="preserve">FacilityAccessControls07022015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 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Facility Access Control Policy</w:t>
              <w:br w:type="textWrapping"/>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br w:type="textWrapping"/>
              <w:t xml:space="preserve">Security / Compliance</w:t>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br w:type="textWrapping"/>
              <w:t xml:space="preserve">Administration</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Workforce and Visitors</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sz w:val="28"/>
          <w:szCs w:val="28"/>
          <w:rtl w:val="0"/>
        </w:rPr>
        <w:br w:type="textWrapping"/>
      </w:r>
      <w:r w:rsidDel="00000000" w:rsidR="00000000" w:rsidRPr="00000000">
        <w:rPr>
          <w:rtl w:val="0"/>
        </w:rPr>
        <w:t xml:space="preserve">In accordance with HIPAA compliance and these policies this policy details the specifics of our facility control plan, workforce access controls, and visitor access controls while ensuring that PHI and EPHI remains confidential, available and monitored. </w:t>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 164.310(a)(1) &amp;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Facility Security - </w:t>
      </w:r>
      <w:r w:rsidDel="00000000" w:rsidR="00000000" w:rsidRPr="00000000">
        <w:rPr>
          <w:rtl w:val="0"/>
        </w:rPr>
        <w:t xml:space="preserve">We must create and maintain facility security policies and procedures that outline and document safeguards for all facilities, systems, and equipment used to store EPHI against reasonably foreseeable physical risks, threats and vulnerabilities.   </w:t>
        <w:br w:type="textWrapping"/>
        <w:br w:type="textWrapping"/>
        <w:t xml:space="preserve">The Facility Security must include the following components: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Contingency Plan </w:t>
      </w:r>
      <w:r w:rsidDel="00000000" w:rsidR="00000000" w:rsidRPr="00000000">
        <w:rPr>
          <w:rtl w:val="0"/>
        </w:rPr>
        <w:t xml:space="preserve"> – Policies and procedures that allow physical facility access during emergencies to support restoration of data under a Disaster Recovery Plan.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Access Control and Validation</w:t>
      </w:r>
      <w:r w:rsidDel="00000000" w:rsidR="00000000" w:rsidRPr="00000000">
        <w:rPr>
          <w:rtl w:val="0"/>
        </w:rPr>
        <w:t xml:space="preserve"> – Procedures to control and validate Workforce member's access to facilities based on their role or function.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Physical Access Records</w:t>
      </w:r>
      <w:r w:rsidDel="00000000" w:rsidR="00000000" w:rsidRPr="00000000">
        <w:rPr>
          <w:rtl w:val="0"/>
        </w:rPr>
        <w:t xml:space="preserve"> – Procedures to log physical access to any facility containing medium and high risk EPHI-based systems. Examples of facilities requiring physical access records are computer, telephone and system rooms.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Maintenance Records</w:t>
      </w:r>
      <w:r w:rsidDel="00000000" w:rsidR="00000000" w:rsidRPr="00000000">
        <w:rPr>
          <w:rtl w:val="0"/>
        </w:rPr>
        <w:t xml:space="preserve"> – Procedures to document and manage repairs and modifications to the physical security components of the facility including locks, doors, and other physical access control hardware.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Workforce Access Controls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Establish and implement appropriate procedures to control and validate employees access to all facilities used to house PHI and EPHI based systems. </w:t>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Adopt access control mechanisms to control physical access to all facilities containing PHI / EPHI based systems. (e.g. fireproof locked doors, biometric scanners, safes, card scanners are examples of physical access control mechanisms.)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Visitor Access Controls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must create and implement procedures to control, validate, and document any visitor, that is, a non-workforce member (e.g. contractor, technician, auditor) accessing facilities used to house PHI/EPHI based 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Visitors who require access to facilities containing PHI or EPHI-based systems must sign in and provide information regarding their identity and the purpose of their visit. </w:t>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Visitors must be escorted or otherwise appropriately monitored while in the facilities requiring access controls.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Violations: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Any individual found to have violated this policy may be subject to disciplinary action up to and including termination of employment or appropriate alternative actions in the case of visitors.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2">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3">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